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00" w:rsidRDefault="00295200" w:rsidP="00F91152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 D model description and equations</w:t>
      </w:r>
    </w:p>
    <w:p w:rsidR="00295200" w:rsidRDefault="00B53731" w:rsidP="00F91152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</w:t>
      </w:r>
      <w:r w:rsidR="00295200">
        <w:rPr>
          <w:rFonts w:asciiTheme="majorBidi" w:hAnsiTheme="majorBidi" w:cstheme="majorBidi"/>
          <w:sz w:val="24"/>
          <w:szCs w:val="24"/>
        </w:rPr>
        <w:t xml:space="preserve">o estimate the effect of turbulence on </w:t>
      </w:r>
      <w:r w:rsidR="00295200" w:rsidRPr="00295200">
        <w:rPr>
          <w:rFonts w:asciiTheme="majorBidi" w:hAnsiTheme="majorBidi" w:cstheme="majorBidi"/>
          <w:sz w:val="24"/>
          <w:szCs w:val="24"/>
        </w:rPr>
        <w:t>G</w:t>
      </w:r>
      <w:r w:rsidR="00295200" w:rsidRPr="00295200">
        <w:rPr>
          <w:rFonts w:asciiTheme="majorBidi" w:hAnsiTheme="majorBidi" w:cstheme="majorBidi"/>
          <w:sz w:val="24"/>
          <w:szCs w:val="24"/>
          <w:vertAlign w:val="superscript"/>
        </w:rPr>
        <w:t>17</w:t>
      </w:r>
      <w:r w:rsidR="00295200" w:rsidRPr="00295200">
        <w:rPr>
          <w:rFonts w:asciiTheme="majorBidi" w:hAnsiTheme="majorBidi" w:cstheme="majorBidi"/>
          <w:sz w:val="24"/>
          <w:szCs w:val="24"/>
        </w:rPr>
        <w:t>OP</w:t>
      </w:r>
      <w:r w:rsidR="00295200">
        <w:rPr>
          <w:rFonts w:asciiTheme="majorBidi" w:hAnsiTheme="majorBidi" w:cstheme="majorBidi"/>
          <w:sz w:val="24"/>
          <w:szCs w:val="24"/>
        </w:rPr>
        <w:t xml:space="preserve"> estimations, we </w:t>
      </w:r>
      <w:r>
        <w:rPr>
          <w:rFonts w:asciiTheme="majorBidi" w:hAnsiTheme="majorBidi" w:cstheme="majorBidi"/>
          <w:sz w:val="24"/>
          <w:szCs w:val="24"/>
        </w:rPr>
        <w:t xml:space="preserve">used </w:t>
      </w:r>
      <w:r w:rsidR="00295200">
        <w:rPr>
          <w:rFonts w:asciiTheme="majorBidi" w:hAnsiTheme="majorBidi" w:cstheme="majorBidi"/>
          <w:sz w:val="24"/>
          <w:szCs w:val="24"/>
        </w:rPr>
        <w:t xml:space="preserve">a simple 1-D model, which simulated the water column to a depth of 300 m. The </w:t>
      </w:r>
      <w:r w:rsidR="00726A08">
        <w:rPr>
          <w:rFonts w:asciiTheme="majorBidi" w:hAnsiTheme="majorBidi" w:cstheme="majorBidi"/>
          <w:sz w:val="24"/>
          <w:szCs w:val="24"/>
        </w:rPr>
        <w:t xml:space="preserve">modeled </w:t>
      </w:r>
      <w:r w:rsidR="00295200">
        <w:rPr>
          <w:rFonts w:asciiTheme="majorBidi" w:hAnsiTheme="majorBidi" w:cstheme="majorBidi"/>
          <w:sz w:val="24"/>
          <w:szCs w:val="24"/>
        </w:rPr>
        <w:t>water</w:t>
      </w:r>
      <w:r w:rsidR="00726A08">
        <w:rPr>
          <w:rFonts w:asciiTheme="majorBidi" w:hAnsiTheme="majorBidi" w:cstheme="majorBidi"/>
          <w:sz w:val="24"/>
          <w:szCs w:val="24"/>
        </w:rPr>
        <w:t>-</w:t>
      </w:r>
      <w:r w:rsidR="00295200">
        <w:rPr>
          <w:rFonts w:asciiTheme="majorBidi" w:hAnsiTheme="majorBidi" w:cstheme="majorBidi"/>
          <w:sz w:val="24"/>
          <w:szCs w:val="24"/>
        </w:rPr>
        <w:t xml:space="preserve">column </w:t>
      </w:r>
      <w:r>
        <w:rPr>
          <w:rFonts w:asciiTheme="majorBidi" w:hAnsiTheme="majorBidi" w:cstheme="majorBidi"/>
          <w:sz w:val="24"/>
          <w:szCs w:val="24"/>
        </w:rPr>
        <w:t>wa</w:t>
      </w:r>
      <w:r w:rsidR="00726A08">
        <w:rPr>
          <w:rFonts w:asciiTheme="majorBidi" w:hAnsiTheme="majorBidi" w:cstheme="majorBidi"/>
          <w:sz w:val="24"/>
          <w:szCs w:val="24"/>
        </w:rPr>
        <w:t>s constructed of</w:t>
      </w:r>
      <w:r w:rsidR="00295200">
        <w:rPr>
          <w:rFonts w:asciiTheme="majorBidi" w:hAnsiTheme="majorBidi" w:cstheme="majorBidi"/>
          <w:sz w:val="24"/>
          <w:szCs w:val="24"/>
        </w:rPr>
        <w:t xml:space="preserve"> 30 layers, of 10 m</w:t>
      </w:r>
      <w:r>
        <w:rPr>
          <w:rFonts w:asciiTheme="majorBidi" w:hAnsiTheme="majorBidi" w:cstheme="majorBidi"/>
          <w:sz w:val="24"/>
          <w:szCs w:val="24"/>
        </w:rPr>
        <w:t xml:space="preserve"> each</w:t>
      </w:r>
      <w:r w:rsidR="00295200">
        <w:rPr>
          <w:rFonts w:asciiTheme="majorBidi" w:hAnsiTheme="majorBidi" w:cstheme="majorBidi"/>
          <w:sz w:val="24"/>
          <w:szCs w:val="24"/>
        </w:rPr>
        <w:t xml:space="preserve">. </w:t>
      </w:r>
      <w:r w:rsidR="00726A08">
        <w:rPr>
          <w:rFonts w:asciiTheme="majorBidi" w:hAnsiTheme="majorBidi" w:cstheme="majorBidi"/>
          <w:sz w:val="24"/>
          <w:szCs w:val="24"/>
        </w:rPr>
        <w:t>The u</w:t>
      </w:r>
      <w:r w:rsidR="00295200">
        <w:rPr>
          <w:rFonts w:asciiTheme="majorBidi" w:hAnsiTheme="majorBidi" w:cstheme="majorBidi"/>
          <w:sz w:val="24"/>
          <w:szCs w:val="24"/>
        </w:rPr>
        <w:t>pper layers were assigned as “mixed-layer”</w:t>
      </w:r>
      <w:r w:rsidR="00726A08">
        <w:rPr>
          <w:rFonts w:asciiTheme="majorBidi" w:hAnsiTheme="majorBidi" w:cstheme="majorBidi"/>
          <w:sz w:val="24"/>
          <w:szCs w:val="24"/>
        </w:rPr>
        <w:t xml:space="preserve"> (ML)</w:t>
      </w:r>
      <w:r w:rsidR="00295200">
        <w:rPr>
          <w:rFonts w:asciiTheme="majorBidi" w:hAnsiTheme="majorBidi" w:cstheme="majorBidi"/>
          <w:sz w:val="24"/>
          <w:szCs w:val="24"/>
        </w:rPr>
        <w:t xml:space="preserve"> </w:t>
      </w:r>
      <w:r w:rsidR="00726A08">
        <w:rPr>
          <w:rFonts w:asciiTheme="majorBidi" w:hAnsiTheme="majorBidi" w:cstheme="majorBidi"/>
          <w:sz w:val="24"/>
          <w:szCs w:val="24"/>
        </w:rPr>
        <w:t>and</w:t>
      </w:r>
      <w:r w:rsidR="00295200">
        <w:rPr>
          <w:rFonts w:asciiTheme="majorBidi" w:hAnsiTheme="majorBidi" w:cstheme="majorBidi"/>
          <w:sz w:val="24"/>
          <w:szCs w:val="24"/>
        </w:rPr>
        <w:t xml:space="preserve"> lower layers were assigned as “seasonal thermocline”. These two type</w:t>
      </w:r>
      <w:r>
        <w:rPr>
          <w:rFonts w:asciiTheme="majorBidi" w:hAnsiTheme="majorBidi" w:cstheme="majorBidi"/>
          <w:sz w:val="24"/>
          <w:szCs w:val="24"/>
        </w:rPr>
        <w:t>s</w:t>
      </w:r>
      <w:r w:rsidR="00295200">
        <w:rPr>
          <w:rFonts w:asciiTheme="majorBidi" w:hAnsiTheme="majorBidi" w:cstheme="majorBidi"/>
          <w:sz w:val="24"/>
          <w:szCs w:val="24"/>
        </w:rPr>
        <w:t xml:space="preserve"> of layers </w:t>
      </w:r>
      <w:r w:rsidR="00726A08">
        <w:rPr>
          <w:rFonts w:asciiTheme="majorBidi" w:hAnsiTheme="majorBidi" w:cstheme="majorBidi"/>
          <w:sz w:val="24"/>
          <w:szCs w:val="24"/>
        </w:rPr>
        <w:t>differed in their eddy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1D5569">
        <w:rPr>
          <w:rFonts w:asciiTheme="majorBidi" w:hAnsiTheme="majorBidi" w:cstheme="majorBidi"/>
          <w:sz w:val="24"/>
          <w:szCs w:val="24"/>
        </w:rPr>
        <w:t>diffusivity</w:t>
      </w:r>
      <w:r w:rsidR="00726A08">
        <w:rPr>
          <w:rFonts w:asciiTheme="majorBidi" w:hAnsiTheme="majorBidi" w:cstheme="majorBidi"/>
          <w:sz w:val="24"/>
          <w:szCs w:val="24"/>
        </w:rPr>
        <w:t xml:space="preserve"> coefficients (</w:t>
      </w:r>
      <w:bookmarkStart w:id="0" w:name="OLE_LINK11"/>
      <w:bookmarkStart w:id="1" w:name="OLE_LINK12"/>
      <w:r w:rsidR="00726A08">
        <w:rPr>
          <w:rFonts w:asciiTheme="majorBidi" w:hAnsiTheme="majorBidi" w:cstheme="majorBidi"/>
          <w:sz w:val="24"/>
          <w:szCs w:val="24"/>
        </w:rPr>
        <w:t>κ</w:t>
      </w:r>
      <w:bookmarkEnd w:id="0"/>
      <w:bookmarkEnd w:id="1"/>
      <w:r w:rsidR="00037CD4">
        <w:rPr>
          <w:rFonts w:asciiTheme="majorBidi" w:hAnsiTheme="majorBidi" w:cstheme="majorBidi"/>
          <w:sz w:val="24"/>
          <w:szCs w:val="24"/>
        </w:rPr>
        <w:t xml:space="preserve"> = 2.5×10</w:t>
      </w:r>
      <w:r w:rsidR="00037CD4">
        <w:rPr>
          <w:rFonts w:asciiTheme="majorBidi" w:hAnsiTheme="majorBidi" w:cstheme="majorBidi"/>
          <w:sz w:val="24"/>
          <w:szCs w:val="24"/>
          <w:vertAlign w:val="superscript"/>
        </w:rPr>
        <w:t>-3</w:t>
      </w:r>
      <w:r w:rsidR="00037CD4">
        <w:rPr>
          <w:rFonts w:asciiTheme="majorBidi" w:hAnsiTheme="majorBidi" w:cstheme="majorBidi"/>
          <w:sz w:val="24"/>
          <w:szCs w:val="24"/>
        </w:rPr>
        <w:t xml:space="preserve"> in the ML and κ = 1×10</w:t>
      </w:r>
      <w:r w:rsidR="00037CD4">
        <w:rPr>
          <w:rFonts w:asciiTheme="majorBidi" w:hAnsiTheme="majorBidi" w:cstheme="majorBidi"/>
          <w:sz w:val="24"/>
          <w:szCs w:val="24"/>
          <w:vertAlign w:val="superscript"/>
        </w:rPr>
        <w:t>-4</w:t>
      </w:r>
      <w:r w:rsidR="00037CD4">
        <w:rPr>
          <w:rFonts w:asciiTheme="majorBidi" w:hAnsiTheme="majorBidi" w:cstheme="majorBidi"/>
          <w:sz w:val="24"/>
          <w:szCs w:val="24"/>
        </w:rPr>
        <w:t xml:space="preserve"> in the seasonal thermocline</w:t>
      </w:r>
      <w:r w:rsidR="00726A08">
        <w:rPr>
          <w:rFonts w:asciiTheme="majorBidi" w:hAnsiTheme="majorBidi" w:cstheme="majorBidi"/>
          <w:sz w:val="24"/>
          <w:szCs w:val="24"/>
        </w:rPr>
        <w:t xml:space="preserve">), and the number of layers assigned to each category was determined according to the mixing depth. </w:t>
      </w:r>
      <w:r w:rsidR="00295200" w:rsidRPr="00295200">
        <w:rPr>
          <w:rFonts w:asciiTheme="majorBidi" w:hAnsiTheme="majorBidi" w:cstheme="majorBidi"/>
          <w:sz w:val="24"/>
          <w:szCs w:val="24"/>
        </w:rPr>
        <w:t xml:space="preserve">An additional layer at the top of the water column represented the ocean surface. In this layer </w:t>
      </w:r>
      <w:bookmarkStart w:id="2" w:name="OLE_LINK13"/>
      <w:bookmarkStart w:id="3" w:name="OLE_LINK14"/>
      <w:r w:rsidR="00295200" w:rsidRPr="00295200">
        <w:rPr>
          <w:rFonts w:asciiTheme="majorBidi" w:hAnsiTheme="majorBidi" w:cstheme="majorBidi"/>
          <w:sz w:val="24"/>
          <w:szCs w:val="24"/>
        </w:rPr>
        <w:t>[O</w:t>
      </w:r>
      <w:r w:rsidR="00295200" w:rsidRPr="00295200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295200" w:rsidRPr="00295200">
        <w:rPr>
          <w:rFonts w:asciiTheme="majorBidi" w:hAnsiTheme="majorBidi" w:cstheme="majorBidi"/>
          <w:sz w:val="24"/>
          <w:szCs w:val="24"/>
        </w:rPr>
        <w:t xml:space="preserve">] </w:t>
      </w:r>
      <w:bookmarkEnd w:id="2"/>
      <w:bookmarkEnd w:id="3"/>
      <w:r w:rsidR="00295200" w:rsidRPr="00295200">
        <w:rPr>
          <w:rFonts w:asciiTheme="majorBidi" w:hAnsiTheme="majorBidi" w:cstheme="majorBidi"/>
          <w:sz w:val="24"/>
          <w:szCs w:val="24"/>
        </w:rPr>
        <w:t xml:space="preserve">and its isotopic composition were kept </w:t>
      </w:r>
      <w:r w:rsidR="00B55EA7">
        <w:rPr>
          <w:rFonts w:asciiTheme="majorBidi" w:hAnsiTheme="majorBidi" w:cstheme="majorBidi"/>
          <w:sz w:val="24"/>
          <w:szCs w:val="24"/>
        </w:rPr>
        <w:t>at</w:t>
      </w:r>
      <w:r w:rsidR="00B55EA7" w:rsidRPr="00295200">
        <w:rPr>
          <w:rFonts w:asciiTheme="majorBidi" w:hAnsiTheme="majorBidi" w:cstheme="majorBidi"/>
          <w:sz w:val="24"/>
          <w:szCs w:val="24"/>
        </w:rPr>
        <w:t xml:space="preserve"> </w:t>
      </w:r>
      <w:r w:rsidR="00295200" w:rsidRPr="00295200">
        <w:rPr>
          <w:rFonts w:asciiTheme="majorBidi" w:hAnsiTheme="majorBidi" w:cstheme="majorBidi"/>
          <w:sz w:val="24"/>
          <w:szCs w:val="24"/>
        </w:rPr>
        <w:t>air-sea equilibrium.</w:t>
      </w:r>
      <w:r w:rsidR="00295200">
        <w:rPr>
          <w:rFonts w:asciiTheme="majorBidi" w:hAnsiTheme="majorBidi" w:cstheme="majorBidi"/>
          <w:sz w:val="24"/>
          <w:szCs w:val="24"/>
        </w:rPr>
        <w:t xml:space="preserve"> </w:t>
      </w:r>
      <w:r w:rsidR="00B55EA7">
        <w:rPr>
          <w:rFonts w:asciiTheme="majorBidi" w:hAnsiTheme="majorBidi" w:cstheme="majorBidi"/>
          <w:sz w:val="24"/>
          <w:szCs w:val="24"/>
        </w:rPr>
        <w:t xml:space="preserve">In </w:t>
      </w:r>
      <w:r w:rsidR="009349D5">
        <w:rPr>
          <w:rFonts w:asciiTheme="majorBidi" w:hAnsiTheme="majorBidi" w:cstheme="majorBidi"/>
          <w:sz w:val="24"/>
          <w:szCs w:val="24"/>
        </w:rPr>
        <w:t xml:space="preserve">the bottom layer, </w:t>
      </w:r>
      <w:r w:rsidR="009349D5" w:rsidRPr="00295200">
        <w:rPr>
          <w:rFonts w:asciiTheme="majorBidi" w:hAnsiTheme="majorBidi" w:cstheme="majorBidi"/>
          <w:sz w:val="24"/>
          <w:szCs w:val="24"/>
        </w:rPr>
        <w:t>[O</w:t>
      </w:r>
      <w:r w:rsidR="009349D5" w:rsidRPr="00295200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9349D5" w:rsidRPr="00295200">
        <w:rPr>
          <w:rFonts w:asciiTheme="majorBidi" w:hAnsiTheme="majorBidi" w:cstheme="majorBidi"/>
          <w:sz w:val="24"/>
          <w:szCs w:val="24"/>
        </w:rPr>
        <w:t>]</w:t>
      </w:r>
      <w:r w:rsidR="009349D5">
        <w:rPr>
          <w:rFonts w:asciiTheme="majorBidi" w:hAnsiTheme="majorBidi" w:cstheme="majorBidi"/>
          <w:sz w:val="24"/>
          <w:szCs w:val="24"/>
        </w:rPr>
        <w:t xml:space="preserve"> concentrations were also kept constant.</w:t>
      </w:r>
    </w:p>
    <w:p w:rsidR="00344B09" w:rsidRDefault="00344B09" w:rsidP="00F91152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993549">
        <w:rPr>
          <w:rFonts w:asciiTheme="majorBidi" w:hAnsiTheme="majorBidi" w:cstheme="majorBidi"/>
          <w:sz w:val="24"/>
          <w:szCs w:val="24"/>
        </w:rPr>
        <w:t>The model was initialized</w:t>
      </w:r>
      <w:r w:rsidR="00993549">
        <w:rPr>
          <w:rFonts w:asciiTheme="majorBidi" w:hAnsiTheme="majorBidi" w:cstheme="majorBidi"/>
          <w:sz w:val="24"/>
          <w:szCs w:val="24"/>
        </w:rPr>
        <w:t xml:space="preserve"> with a uniform profile, with saturation concentration for each of the </w:t>
      </w:r>
      <w:proofErr w:type="spellStart"/>
      <w:r w:rsidR="00993549">
        <w:rPr>
          <w:rFonts w:asciiTheme="majorBidi" w:hAnsiTheme="majorBidi" w:cstheme="majorBidi"/>
          <w:sz w:val="24"/>
          <w:szCs w:val="24"/>
        </w:rPr>
        <w:t>isotopolouges</w:t>
      </w:r>
      <w:proofErr w:type="spellEnd"/>
      <w:r w:rsidR="00993549">
        <w:rPr>
          <w:rFonts w:asciiTheme="majorBidi" w:hAnsiTheme="majorBidi" w:cstheme="majorBidi"/>
          <w:sz w:val="24"/>
          <w:szCs w:val="24"/>
        </w:rPr>
        <w:t>.</w:t>
      </w:r>
    </w:p>
    <w:p w:rsidR="00E75D61" w:rsidRDefault="0000693B" w:rsidP="00F91152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GOP was roughly estimated by multiplying </w:t>
      </w:r>
      <w:r>
        <w:rPr>
          <w:rFonts w:asciiTheme="majorBidi" w:hAnsiTheme="majorBidi" w:cstheme="majorBidi"/>
          <w:sz w:val="24"/>
          <w:szCs w:val="24"/>
          <w:vertAlign w:val="superscript"/>
        </w:rPr>
        <w:t>14</w:t>
      </w:r>
      <w:r>
        <w:rPr>
          <w:rFonts w:asciiTheme="majorBidi" w:hAnsiTheme="majorBidi" w:cstheme="majorBidi"/>
          <w:sz w:val="24"/>
          <w:szCs w:val="24"/>
        </w:rPr>
        <w:t xml:space="preserve">C-incubation rates by three (similar to the </w:t>
      </w:r>
      <w:r w:rsidR="00AB62C2">
        <w:rPr>
          <w:rFonts w:asciiTheme="majorBidi" w:hAnsiTheme="majorBidi" w:cstheme="majorBidi"/>
          <w:sz w:val="24"/>
          <w:szCs w:val="24"/>
        </w:rPr>
        <w:t>2.8 ratio calculated</w:t>
      </w:r>
      <w:r>
        <w:rPr>
          <w:rFonts w:asciiTheme="majorBidi" w:hAnsiTheme="majorBidi" w:cstheme="majorBidi"/>
          <w:sz w:val="24"/>
          <w:szCs w:val="24"/>
        </w:rPr>
        <w:t xml:space="preserve"> by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Marra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[2000]). For simplicity, GOP rates were kept constant </w:t>
      </w:r>
      <w:r w:rsidR="00B55EA7">
        <w:rPr>
          <w:rFonts w:asciiTheme="majorBidi" w:hAnsiTheme="majorBidi" w:cstheme="majorBidi"/>
          <w:sz w:val="24"/>
          <w:szCs w:val="24"/>
        </w:rPr>
        <w:t xml:space="preserve">over </w:t>
      </w:r>
      <w:r>
        <w:rPr>
          <w:rFonts w:asciiTheme="majorBidi" w:hAnsiTheme="majorBidi" w:cstheme="majorBidi"/>
          <w:sz w:val="24"/>
          <w:szCs w:val="24"/>
        </w:rPr>
        <w:t xml:space="preserve">time, and were assumed to decrease linearly </w:t>
      </w:r>
      <w:r w:rsidR="005B5AC1">
        <w:rPr>
          <w:rFonts w:asciiTheme="majorBidi" w:hAnsiTheme="majorBidi" w:cstheme="majorBidi"/>
          <w:sz w:val="24"/>
          <w:szCs w:val="24"/>
        </w:rPr>
        <w:t xml:space="preserve">with depth </w:t>
      </w:r>
      <w:r>
        <w:rPr>
          <w:rFonts w:asciiTheme="majorBidi" w:hAnsiTheme="majorBidi" w:cstheme="majorBidi"/>
          <w:sz w:val="24"/>
          <w:szCs w:val="24"/>
        </w:rPr>
        <w:t xml:space="preserve">from a maximum of 3 </w:t>
      </w:r>
      <w:proofErr w:type="spellStart"/>
      <w:r>
        <w:rPr>
          <w:rFonts w:asciiTheme="majorBidi" w:hAnsiTheme="majorBidi" w:cstheme="majorBidi"/>
          <w:sz w:val="24"/>
          <w:szCs w:val="24"/>
        </w:rPr>
        <w:t>mmol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</w:t>
      </w:r>
      <w:r>
        <w:rPr>
          <w:rFonts w:asciiTheme="majorBidi" w:hAnsiTheme="majorBidi" w:cstheme="majorBidi"/>
          <w:sz w:val="24"/>
          <w:szCs w:val="24"/>
          <w:vertAlign w:val="superscript"/>
        </w:rPr>
        <w:t>-3</w:t>
      </w:r>
      <w:r>
        <w:rPr>
          <w:rFonts w:asciiTheme="majorBidi" w:hAnsiTheme="majorBidi" w:cstheme="majorBidi"/>
          <w:sz w:val="24"/>
          <w:szCs w:val="24"/>
        </w:rPr>
        <w:t xml:space="preserve"> day</w:t>
      </w:r>
      <w:r>
        <w:rPr>
          <w:rFonts w:asciiTheme="majorBidi" w:hAnsiTheme="majorBidi" w:cstheme="majorBidi"/>
          <w:sz w:val="24"/>
          <w:szCs w:val="24"/>
          <w:vertAlign w:val="superscript"/>
        </w:rPr>
        <w:t>-1</w:t>
      </w:r>
      <w:r>
        <w:rPr>
          <w:rFonts w:asciiTheme="majorBidi" w:hAnsiTheme="majorBidi" w:cstheme="majorBidi"/>
          <w:sz w:val="24"/>
          <w:szCs w:val="24"/>
        </w:rPr>
        <w:t xml:space="preserve"> at the sea surface to zero at 150 m. The integrated GOP rate was </w:t>
      </w:r>
      <w:r w:rsidR="007328D0">
        <w:rPr>
          <w:rFonts w:asciiTheme="majorBidi" w:hAnsiTheme="majorBidi" w:cstheme="majorBidi"/>
          <w:sz w:val="24"/>
          <w:szCs w:val="24"/>
        </w:rPr>
        <w:t xml:space="preserve">226 </w:t>
      </w:r>
      <w:proofErr w:type="spellStart"/>
      <w:r>
        <w:rPr>
          <w:rFonts w:asciiTheme="majorBidi" w:hAnsiTheme="majorBidi" w:cstheme="majorBidi"/>
          <w:sz w:val="24"/>
          <w:szCs w:val="24"/>
        </w:rPr>
        <w:t>mmol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</w:t>
      </w:r>
      <w:r>
        <w:rPr>
          <w:rFonts w:asciiTheme="majorBidi" w:hAnsiTheme="majorBidi" w:cstheme="majorBidi"/>
          <w:sz w:val="24"/>
          <w:szCs w:val="24"/>
          <w:vertAlign w:val="superscript"/>
        </w:rPr>
        <w:t>-2</w:t>
      </w:r>
      <w:r>
        <w:rPr>
          <w:rFonts w:asciiTheme="majorBidi" w:hAnsiTheme="majorBidi" w:cstheme="majorBidi"/>
          <w:sz w:val="24"/>
          <w:szCs w:val="24"/>
        </w:rPr>
        <w:t xml:space="preserve"> day</w:t>
      </w:r>
      <w:r>
        <w:rPr>
          <w:rFonts w:asciiTheme="majorBidi" w:hAnsiTheme="majorBidi" w:cstheme="majorBidi"/>
          <w:sz w:val="24"/>
          <w:szCs w:val="24"/>
          <w:vertAlign w:val="superscript"/>
        </w:rPr>
        <w:t>-1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="00E75D61">
        <w:rPr>
          <w:rFonts w:asciiTheme="majorBidi" w:hAnsiTheme="majorBidi" w:cstheme="majorBidi"/>
          <w:sz w:val="24"/>
          <w:szCs w:val="24"/>
        </w:rPr>
        <w:t xml:space="preserve"> </w:t>
      </w:r>
      <w:r w:rsidR="005B5AC1">
        <w:rPr>
          <w:rFonts w:asciiTheme="majorBidi" w:hAnsiTheme="majorBidi" w:cstheme="majorBidi"/>
          <w:sz w:val="24"/>
          <w:szCs w:val="24"/>
        </w:rPr>
        <w:t>The r</w:t>
      </w:r>
      <w:r w:rsidR="00E75D61">
        <w:rPr>
          <w:rFonts w:asciiTheme="majorBidi" w:hAnsiTheme="majorBidi" w:cstheme="majorBidi"/>
          <w:sz w:val="24"/>
          <w:szCs w:val="24"/>
        </w:rPr>
        <w:t xml:space="preserve">espiration </w:t>
      </w:r>
      <w:r w:rsidR="005B5AC1">
        <w:rPr>
          <w:rFonts w:asciiTheme="majorBidi" w:hAnsiTheme="majorBidi" w:cstheme="majorBidi"/>
          <w:sz w:val="24"/>
          <w:szCs w:val="24"/>
        </w:rPr>
        <w:t xml:space="preserve">flux in each layer </w:t>
      </w:r>
      <w:r w:rsidR="00E75D61">
        <w:rPr>
          <w:rFonts w:asciiTheme="majorBidi" w:hAnsiTheme="majorBidi" w:cstheme="majorBidi"/>
          <w:sz w:val="24"/>
          <w:szCs w:val="24"/>
        </w:rPr>
        <w:t xml:space="preserve">was </w:t>
      </w:r>
      <w:r w:rsidR="005B5AC1">
        <w:rPr>
          <w:rFonts w:asciiTheme="majorBidi" w:hAnsiTheme="majorBidi" w:cstheme="majorBidi"/>
          <w:sz w:val="24"/>
          <w:szCs w:val="24"/>
        </w:rPr>
        <w:t>assumed to be</w:t>
      </w:r>
      <w:r w:rsidR="00E75D61">
        <w:rPr>
          <w:rFonts w:asciiTheme="majorBidi" w:hAnsiTheme="majorBidi" w:cstheme="majorBidi"/>
          <w:sz w:val="24"/>
          <w:szCs w:val="24"/>
        </w:rPr>
        <w:t xml:space="preserve"> 0.85*GOP.  </w:t>
      </w:r>
      <w:r w:rsidR="009E3767">
        <w:rPr>
          <w:rFonts w:asciiTheme="majorBidi" w:hAnsiTheme="majorBidi" w:cstheme="majorBidi"/>
          <w:sz w:val="24"/>
          <w:szCs w:val="24"/>
        </w:rPr>
        <w:t>For each layer, t</w:t>
      </w:r>
      <w:r w:rsidR="00037CD4">
        <w:rPr>
          <w:rFonts w:asciiTheme="majorBidi" w:hAnsiTheme="majorBidi" w:cstheme="majorBidi"/>
          <w:sz w:val="24"/>
          <w:szCs w:val="24"/>
        </w:rPr>
        <w:t xml:space="preserve">he concentration of each </w:t>
      </w:r>
      <w:r w:rsidR="009E3767" w:rsidRPr="009E3767">
        <w:rPr>
          <w:rFonts w:asciiTheme="majorBidi" w:hAnsiTheme="majorBidi" w:cstheme="majorBidi"/>
          <w:sz w:val="24"/>
          <w:szCs w:val="24"/>
        </w:rPr>
        <w:t>O</w:t>
      </w:r>
      <w:r w:rsidR="009E3767" w:rsidRPr="009E3767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9E3767">
        <w:rPr>
          <w:rFonts w:asciiTheme="majorBidi" w:hAnsiTheme="majorBidi" w:cstheme="majorBidi"/>
          <w:sz w:val="24"/>
          <w:szCs w:val="24"/>
        </w:rPr>
        <w:t xml:space="preserve"> </w:t>
      </w:r>
      <w:r w:rsidR="00037CD4">
        <w:rPr>
          <w:rFonts w:asciiTheme="majorBidi" w:hAnsiTheme="majorBidi" w:cstheme="majorBidi"/>
          <w:sz w:val="24"/>
          <w:szCs w:val="24"/>
        </w:rPr>
        <w:t>isotopologue was estimated</w:t>
      </w:r>
      <w:r w:rsidR="009E3767">
        <w:rPr>
          <w:rFonts w:asciiTheme="majorBidi" w:hAnsiTheme="majorBidi" w:cstheme="majorBidi"/>
          <w:sz w:val="24"/>
          <w:szCs w:val="24"/>
        </w:rPr>
        <w:t xml:space="preserve"> in time-steps of one day. </w:t>
      </w:r>
      <w:r w:rsidR="00AB62C2">
        <w:rPr>
          <w:rFonts w:asciiTheme="majorBidi" w:hAnsiTheme="majorBidi" w:cstheme="majorBidi"/>
          <w:sz w:val="24"/>
          <w:szCs w:val="24"/>
        </w:rPr>
        <w:t xml:space="preserve"> Below is a list of all the parameters and equations used in the model.</w:t>
      </w:r>
    </w:p>
    <w:p w:rsidR="002A0DE8" w:rsidRDefault="002A0DE8" w:rsidP="00F91152">
      <w:pPr>
        <w:pStyle w:val="Heading2"/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4A3A0E">
        <w:rPr>
          <w:rFonts w:asciiTheme="majorBidi" w:hAnsiTheme="majorBidi" w:cstheme="majorBidi"/>
          <w:sz w:val="24"/>
          <w:szCs w:val="24"/>
        </w:rPr>
        <w:t>Constants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3119"/>
        <w:gridCol w:w="2652"/>
      </w:tblGrid>
      <w:tr w:rsidR="008A1D64" w:rsidRPr="001C5A61" w:rsidTr="008A1D64">
        <w:tc>
          <w:tcPr>
            <w:tcW w:w="3085" w:type="dxa"/>
            <w:shd w:val="clear" w:color="auto" w:fill="auto"/>
          </w:tcPr>
          <w:p w:rsidR="008A1D64" w:rsidRPr="001C5A61" w:rsidRDefault="008A1D64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Parameter</w:t>
            </w:r>
          </w:p>
        </w:tc>
        <w:tc>
          <w:tcPr>
            <w:tcW w:w="3119" w:type="dxa"/>
            <w:shd w:val="clear" w:color="auto" w:fill="auto"/>
          </w:tcPr>
          <w:p w:rsidR="008A1D64" w:rsidRPr="001C5A61" w:rsidRDefault="008A1D64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Value</w:t>
            </w:r>
          </w:p>
        </w:tc>
        <w:tc>
          <w:tcPr>
            <w:tcW w:w="2652" w:type="dxa"/>
            <w:shd w:val="clear" w:color="auto" w:fill="auto"/>
          </w:tcPr>
          <w:p w:rsidR="008A1D64" w:rsidRPr="001C5A61" w:rsidRDefault="008A1D64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Ref</w:t>
            </w:r>
            <w:r w:rsidR="00B55EA7">
              <w:rPr>
                <w:rFonts w:asciiTheme="majorBidi" w:eastAsia="Calibri" w:hAnsiTheme="majorBidi" w:cstheme="majorBidi"/>
                <w:sz w:val="20"/>
                <w:szCs w:val="20"/>
              </w:rPr>
              <w:t>erence</w:t>
            </w:r>
          </w:p>
        </w:tc>
      </w:tr>
      <w:tr w:rsidR="008A1D64" w:rsidRPr="001C5A61" w:rsidTr="008A1D64">
        <w:tc>
          <w:tcPr>
            <w:tcW w:w="3085" w:type="dxa"/>
            <w:shd w:val="clear" w:color="auto" w:fill="auto"/>
          </w:tcPr>
          <w:p w:rsidR="008A1D64" w:rsidRPr="001C5A61" w:rsidRDefault="008A1D64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lastRenderedPageBreak/>
              <w:t>X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>17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P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, X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>18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P</w:t>
            </w:r>
            <w:r w:rsidR="008E4D6A" w:rsidRPr="001C5A6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isotopic composition of photosynthetic produced O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2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8A1D64" w:rsidRPr="001C5A61" w:rsidRDefault="008A1D64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</w:rPr>
              <w:t>0.000380579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,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0.002011967</w:t>
            </w:r>
          </w:p>
        </w:tc>
        <w:tc>
          <w:tcPr>
            <w:tcW w:w="2652" w:type="dxa"/>
            <w:shd w:val="clear" w:color="auto" w:fill="auto"/>
          </w:tcPr>
          <w:p w:rsidR="008A1D64" w:rsidRPr="001C5A61" w:rsidRDefault="008A1D64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  <w:t>Luz and Barkan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,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[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2011</w:t>
            </w:r>
            <w:r w:rsidR="00181AB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181ABD" w:rsidRPr="00181AB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a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</w:tr>
      <w:tr w:rsidR="008A1D64" w:rsidRPr="001C5A61" w:rsidTr="008A1D64">
        <w:tc>
          <w:tcPr>
            <w:tcW w:w="3085" w:type="dxa"/>
            <w:shd w:val="clear" w:color="auto" w:fill="auto"/>
          </w:tcPr>
          <w:p w:rsidR="008A1D64" w:rsidRPr="001C5A61" w:rsidRDefault="008A1D64" w:rsidP="00F9115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</w:pP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>18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ε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R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,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 xml:space="preserve"> 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17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ε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r</w:t>
            </w:r>
            <w:r w:rsidR="008E4D6A" w:rsidRPr="001C5A6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 xml:space="preserve">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discrimination in respiration in the photic zone</w:t>
            </w:r>
          </w:p>
        </w:tc>
        <w:tc>
          <w:tcPr>
            <w:tcW w:w="3119" w:type="dxa"/>
            <w:shd w:val="clear" w:color="auto" w:fill="auto"/>
          </w:tcPr>
          <w:p w:rsidR="008A1D64" w:rsidRPr="001C5A61" w:rsidRDefault="008A1D64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</w:rPr>
              <w:t>22 ‰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,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1-(1-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18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1C5A61">
              <w:rPr>
                <w:rFonts w:asciiTheme="majorBidi" w:hAnsiTheme="majorBidi" w:cstheme="majorBidi"/>
                <w:sz w:val="20"/>
                <w:szCs w:val="20"/>
              </w:rPr>
              <w:t>ε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r</w:t>
            </w:r>
            <w:proofErr w:type="spellEnd"/>
            <w:r w:rsidRPr="001C5A61"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proofErr w:type="spellStart"/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θr</w:t>
            </w:r>
            <w:proofErr w:type="spellEnd"/>
          </w:p>
        </w:tc>
        <w:tc>
          <w:tcPr>
            <w:tcW w:w="2652" w:type="dxa"/>
            <w:shd w:val="clear" w:color="auto" w:fill="auto"/>
          </w:tcPr>
          <w:p w:rsidR="008A1D64" w:rsidRPr="00274A5C" w:rsidRDefault="00274A5C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  <w:t xml:space="preserve">Quay et al., </w:t>
            </w:r>
            <w:r>
              <w:rPr>
                <w:rFonts w:asciiTheme="majorBidi" w:eastAsia="Calibri" w:hAnsiTheme="majorBidi" w:cstheme="majorBidi"/>
                <w:sz w:val="20"/>
                <w:szCs w:val="20"/>
              </w:rPr>
              <w:t>[1993]</w:t>
            </w:r>
            <w:r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  <w:br/>
              <w:t xml:space="preserve">Hendricks et al., </w:t>
            </w:r>
            <w:r>
              <w:rPr>
                <w:rFonts w:asciiTheme="majorBidi" w:eastAsia="Calibri" w:hAnsiTheme="majorBidi" w:cstheme="majorBidi"/>
                <w:sz w:val="20"/>
                <w:szCs w:val="20"/>
              </w:rPr>
              <w:t>[2004]</w:t>
            </w:r>
          </w:p>
        </w:tc>
      </w:tr>
      <w:tr w:rsidR="008E4D6A" w:rsidRPr="001C5A61" w:rsidTr="008A1D64">
        <w:tc>
          <w:tcPr>
            <w:tcW w:w="3085" w:type="dxa"/>
            <w:shd w:val="clear" w:color="auto" w:fill="auto"/>
          </w:tcPr>
          <w:p w:rsidR="008E4D6A" w:rsidRPr="001C5A61" w:rsidRDefault="008E4D6A" w:rsidP="00F9115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</w:pP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>18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ε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R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(deep)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,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 xml:space="preserve"> 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17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ε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r(deep)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 xml:space="preserve">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discrimination in respiration below the photic zone</w:t>
            </w:r>
          </w:p>
        </w:tc>
        <w:tc>
          <w:tcPr>
            <w:tcW w:w="3119" w:type="dxa"/>
            <w:shd w:val="clear" w:color="auto" w:fill="auto"/>
          </w:tcPr>
          <w:p w:rsidR="008E4D6A" w:rsidRPr="001C5A61" w:rsidRDefault="008E4D6A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</w:rPr>
              <w:t>21.5 ‰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,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1-(1-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18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1C5A61">
              <w:rPr>
                <w:rFonts w:asciiTheme="majorBidi" w:hAnsiTheme="majorBidi" w:cstheme="majorBidi"/>
                <w:sz w:val="20"/>
                <w:szCs w:val="20"/>
              </w:rPr>
              <w:t>ε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r</w:t>
            </w:r>
            <w:proofErr w:type="spellEnd"/>
            <w:r w:rsidRPr="001C5A61"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proofErr w:type="spellStart"/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θr</w:t>
            </w:r>
            <w:proofErr w:type="spellEnd"/>
          </w:p>
        </w:tc>
        <w:tc>
          <w:tcPr>
            <w:tcW w:w="2652" w:type="dxa"/>
            <w:shd w:val="clear" w:color="auto" w:fill="auto"/>
          </w:tcPr>
          <w:p w:rsidR="008E4D6A" w:rsidRPr="001C5A61" w:rsidRDefault="0038618C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38618C">
              <w:rPr>
                <w:rFonts w:asciiTheme="majorBidi" w:hAnsiTheme="majorBidi" w:cstheme="majorBidi"/>
                <w:sz w:val="20"/>
                <w:szCs w:val="20"/>
              </w:rPr>
              <w:t xml:space="preserve">Adjusted to produce the best fit with measured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δ</w:t>
            </w:r>
            <w:r w:rsidRPr="0038618C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18</w:t>
            </w:r>
            <w:r w:rsidRPr="0038618C">
              <w:rPr>
                <w:rFonts w:asciiTheme="majorBidi" w:hAnsiTheme="majorBidi" w:cstheme="majorBidi"/>
                <w:sz w:val="20"/>
                <w:szCs w:val="20"/>
              </w:rPr>
              <w:t>O profiles in BATS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</w:tc>
      </w:tr>
      <w:tr w:rsidR="008E4D6A" w:rsidRPr="001C5A61" w:rsidTr="008A1D64">
        <w:tc>
          <w:tcPr>
            <w:tcW w:w="3085" w:type="dxa"/>
            <w:shd w:val="clear" w:color="auto" w:fill="auto"/>
          </w:tcPr>
          <w:p w:rsidR="008E4D6A" w:rsidRPr="001C5A61" w:rsidRDefault="00DB5D70" w:rsidP="00F9115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C5A61">
              <w:rPr>
                <w:rFonts w:asciiTheme="majorBidi" w:hAnsiTheme="majorBidi" w:cstheme="majorBidi"/>
                <w:sz w:val="20"/>
                <w:szCs w:val="20"/>
              </w:rPr>
              <w:t>θ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r</w:t>
            </w:r>
            <w:proofErr w:type="spellEnd"/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F23FDD"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relationship between the discrimination against </w:t>
            </w:r>
            <w:r w:rsidR="00F23FDD"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17</w:t>
            </w:r>
            <w:r w:rsidR="00F23FDD"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O and </w:t>
            </w:r>
            <w:r w:rsidR="00F23FDD"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18</w:t>
            </w:r>
            <w:r w:rsidR="00F23FDD"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O relative to </w:t>
            </w:r>
            <w:r w:rsidR="00F23FDD"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16</w:t>
            </w:r>
            <w:r w:rsidR="00F23FDD" w:rsidRPr="001C5A61">
              <w:rPr>
                <w:rFonts w:asciiTheme="majorBidi" w:hAnsiTheme="majorBidi" w:cstheme="majorBidi"/>
                <w:sz w:val="20"/>
                <w:szCs w:val="20"/>
              </w:rPr>
              <w:t>O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8E4D6A" w:rsidRPr="001C5A61" w:rsidRDefault="00F23FDD" w:rsidP="00F91152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</w:rPr>
              <w:t>0.516</w:t>
            </w:r>
          </w:p>
        </w:tc>
        <w:tc>
          <w:tcPr>
            <w:tcW w:w="2652" w:type="dxa"/>
            <w:shd w:val="clear" w:color="auto" w:fill="auto"/>
          </w:tcPr>
          <w:p w:rsidR="008E4D6A" w:rsidRPr="001C5A61" w:rsidRDefault="00F23FDD" w:rsidP="00F91152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Angert et al.,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[2003]</w:t>
            </w:r>
          </w:p>
        </w:tc>
      </w:tr>
      <w:tr w:rsidR="00ED1975" w:rsidRPr="001C5A61" w:rsidTr="008A1D64">
        <w:tc>
          <w:tcPr>
            <w:tcW w:w="3085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perscript"/>
              </w:rPr>
              <w:t>17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R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bscript"/>
              </w:rPr>
              <w:t xml:space="preserve">AIR, 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perscript"/>
              </w:rPr>
              <w:t>18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R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bscript"/>
              </w:rPr>
              <w:t>AIR</w:t>
            </w:r>
          </w:p>
        </w:tc>
        <w:tc>
          <w:tcPr>
            <w:tcW w:w="3119" w:type="dxa"/>
            <w:shd w:val="clear" w:color="auto" w:fill="auto"/>
          </w:tcPr>
          <w:p w:rsidR="00ED1975" w:rsidRPr="001C5A61" w:rsidRDefault="00ED1975" w:rsidP="00F91152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</w:rPr>
              <w:t>0.000384473, .002053057</w:t>
            </w:r>
          </w:p>
        </w:tc>
        <w:tc>
          <w:tcPr>
            <w:tcW w:w="2652" w:type="dxa"/>
            <w:shd w:val="clear" w:color="auto" w:fill="auto"/>
          </w:tcPr>
          <w:p w:rsidR="00ED1975" w:rsidRPr="002F40D4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F40D4"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  <w:t>Luz and Barkan</w:t>
            </w:r>
            <w:r w:rsidRPr="002F40D4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, </w:t>
            </w:r>
            <w:r w:rsidRPr="002F40D4">
              <w:rPr>
                <w:rFonts w:asciiTheme="majorBidi" w:hAnsiTheme="majorBidi" w:cstheme="majorBidi"/>
                <w:sz w:val="20"/>
                <w:szCs w:val="20"/>
              </w:rPr>
              <w:t>[</w:t>
            </w:r>
            <w:r w:rsidRPr="002F40D4">
              <w:rPr>
                <w:rFonts w:asciiTheme="majorBidi" w:eastAsia="Calibri" w:hAnsiTheme="majorBidi" w:cstheme="majorBidi"/>
                <w:sz w:val="20"/>
                <w:szCs w:val="20"/>
              </w:rPr>
              <w:t>2011</w:t>
            </w:r>
            <w:r w:rsidR="00181ABD" w:rsidRPr="002F40D4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</w:t>
            </w:r>
            <w:r w:rsidR="00181ABD" w:rsidRPr="002F40D4"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  <w:t>b</w:t>
            </w:r>
            <w:r w:rsidRPr="002F40D4">
              <w:rPr>
                <w:rFonts w:asciiTheme="majorBidi" w:hAnsiTheme="majorBidi" w:cstheme="majorBidi"/>
                <w:sz w:val="20"/>
                <w:szCs w:val="20"/>
              </w:rPr>
              <w:t>]</w:t>
            </w:r>
          </w:p>
        </w:tc>
      </w:tr>
      <w:tr w:rsidR="00ED1975" w:rsidRPr="001C5A61" w:rsidTr="008A1D64">
        <w:tc>
          <w:tcPr>
            <w:tcW w:w="3085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hAnsiTheme="majorBidi" w:cstheme="majorBidi"/>
                <w:snapToGrid w:val="0"/>
                <w:sz w:val="20"/>
                <w:szCs w:val="20"/>
                <w:vertAlign w:val="superscript"/>
              </w:rPr>
            </w:pP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perscript"/>
              </w:rPr>
              <w:t>17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R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bscript"/>
              </w:rPr>
              <w:t xml:space="preserve">SMOW, 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perscript"/>
              </w:rPr>
              <w:t>18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R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bscript"/>
              </w:rPr>
              <w:t>SMOW</w:t>
            </w:r>
          </w:p>
        </w:tc>
        <w:tc>
          <w:tcPr>
            <w:tcW w:w="3119" w:type="dxa"/>
            <w:shd w:val="clear" w:color="auto" w:fill="auto"/>
          </w:tcPr>
          <w:p w:rsidR="00ED1975" w:rsidRPr="001C5A61" w:rsidRDefault="00ED1975" w:rsidP="00F91152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2*379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×10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-6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, 2*2005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×10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2652" w:type="dxa"/>
            <w:shd w:val="clear" w:color="auto" w:fill="auto"/>
          </w:tcPr>
          <w:p w:rsidR="00ED1975" w:rsidRPr="002F40D4" w:rsidRDefault="00C05A50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2F40D4"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  <w:t>Coplen</w:t>
            </w:r>
            <w:proofErr w:type="spellEnd"/>
            <w:r w:rsidRPr="002F40D4"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  <w:t xml:space="preserve"> et al., </w:t>
            </w:r>
            <w:r w:rsidRPr="002F40D4">
              <w:rPr>
                <w:rFonts w:asciiTheme="majorBidi" w:eastAsia="Calibri" w:hAnsiTheme="majorBidi" w:cstheme="majorBidi"/>
                <w:sz w:val="20"/>
                <w:szCs w:val="20"/>
              </w:rPr>
              <w:t>[2002]</w:t>
            </w:r>
          </w:p>
        </w:tc>
      </w:tr>
      <w:tr w:rsidR="00ED1975" w:rsidRPr="001C5A61" w:rsidTr="008A1D64">
        <w:tc>
          <w:tcPr>
            <w:tcW w:w="3085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K</w:t>
            </w:r>
            <w:r w:rsidR="00E35B63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, </w:t>
            </w:r>
            <w:r w:rsidR="00003E59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gas exchange coefficient (piston velocity) </w:t>
            </w:r>
          </w:p>
        </w:tc>
        <w:tc>
          <w:tcPr>
            <w:tcW w:w="3119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</w:rPr>
              <w:t>4 m day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652" w:type="dxa"/>
            <w:shd w:val="clear" w:color="auto" w:fill="auto"/>
          </w:tcPr>
          <w:p w:rsidR="00ED1975" w:rsidRPr="002F40D4" w:rsidRDefault="00ED1975" w:rsidP="00F91152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D1975" w:rsidRPr="001C5A61" w:rsidTr="008A1D64">
        <w:tc>
          <w:tcPr>
            <w:tcW w:w="3085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32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O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2sat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,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saturation in the upper layer</w:t>
            </w:r>
          </w:p>
        </w:tc>
        <w:tc>
          <w:tcPr>
            <w:tcW w:w="3119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200 </w:t>
            </w:r>
            <w:proofErr w:type="spellStart"/>
            <w:r w:rsidRPr="001C5A61">
              <w:rPr>
                <w:rFonts w:asciiTheme="majorBidi" w:hAnsiTheme="majorBidi" w:cstheme="majorBidi"/>
                <w:sz w:val="20"/>
                <w:szCs w:val="20"/>
              </w:rPr>
              <w:t>mmol</w:t>
            </w:r>
            <w:proofErr w:type="spellEnd"/>
            <w:r w:rsidR="002F40D4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38618C"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="002F40D4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-</w:t>
            </w:r>
            <w:r w:rsidRPr="002F40D4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652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</w:p>
        </w:tc>
      </w:tr>
      <w:tr w:rsidR="00ED1975" w:rsidRPr="001C5A61" w:rsidTr="008A1D64">
        <w:tc>
          <w:tcPr>
            <w:tcW w:w="3085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>33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O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2sat</w:t>
            </w:r>
            <w:r w:rsidR="00C05A50">
              <w:rPr>
                <w:rFonts w:asciiTheme="majorBidi" w:eastAsia="Calibri" w:hAnsiTheme="majorBidi" w:cstheme="majorBidi"/>
                <w:sz w:val="20"/>
                <w:szCs w:val="20"/>
              </w:rPr>
              <w:t>,</w:t>
            </w:r>
            <w:r w:rsidR="00C05A50" w:rsidRPr="001C5A61">
              <w:rPr>
                <w:rFonts w:asciiTheme="majorBidi" w:hAnsiTheme="majorBidi" w:cstheme="majorBidi"/>
                <w:sz w:val="20"/>
                <w:szCs w:val="20"/>
              </w:rPr>
              <w:t>saturation</w:t>
            </w:r>
            <w:r w:rsidR="00C05A50">
              <w:rPr>
                <w:rFonts w:asciiTheme="majorBidi" w:hAnsiTheme="majorBidi" w:cstheme="majorBidi"/>
                <w:sz w:val="20"/>
                <w:szCs w:val="20"/>
              </w:rPr>
              <w:t xml:space="preserve"> of </w:t>
            </w:r>
            <w:r w:rsidR="00C05A50" w:rsidRPr="001C5A61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>3</w:t>
            </w:r>
            <w:r w:rsidR="00C05A50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>3</w:t>
            </w:r>
            <w:r w:rsidR="00C05A50"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O</w:t>
            </w:r>
            <w:r w:rsidR="00C05A50"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2</w:t>
            </w:r>
            <w:r w:rsidR="00C05A50"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in the upper layer</w:t>
            </w:r>
          </w:p>
        </w:tc>
        <w:tc>
          <w:tcPr>
            <w:tcW w:w="3119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=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32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O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2sat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 * 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perscript"/>
              </w:rPr>
              <w:t>17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R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bscript"/>
              </w:rPr>
              <w:t>AIR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*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1.00037529830 </w:t>
            </w:r>
            <w:proofErr w:type="spellStart"/>
            <w:r w:rsidR="0038618C" w:rsidRPr="001C5A61">
              <w:rPr>
                <w:rFonts w:asciiTheme="majorBidi" w:hAnsiTheme="majorBidi" w:cstheme="majorBidi"/>
                <w:sz w:val="20"/>
                <w:szCs w:val="20"/>
              </w:rPr>
              <w:t>mmol</w:t>
            </w:r>
            <w:proofErr w:type="spellEnd"/>
            <w:r w:rsidR="0038618C"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m</w:t>
            </w:r>
            <w:r w:rsidR="0038618C"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2652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  <w:t>B. Luz, Pers. com</w:t>
            </w:r>
          </w:p>
        </w:tc>
      </w:tr>
      <w:tr w:rsidR="00ED1975" w:rsidRPr="001C5A61" w:rsidTr="008A1D64">
        <w:tc>
          <w:tcPr>
            <w:tcW w:w="3085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>34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O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2sat</w:t>
            </w:r>
            <w:r w:rsidR="00E35B63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 xml:space="preserve">, </w:t>
            </w:r>
            <w:r w:rsidR="00C05A50" w:rsidRPr="001C5A61">
              <w:rPr>
                <w:rFonts w:asciiTheme="majorBidi" w:hAnsiTheme="majorBidi" w:cstheme="majorBidi"/>
                <w:sz w:val="20"/>
                <w:szCs w:val="20"/>
              </w:rPr>
              <w:t>saturation</w:t>
            </w:r>
            <w:r w:rsidR="00C05A50">
              <w:rPr>
                <w:rFonts w:asciiTheme="majorBidi" w:hAnsiTheme="majorBidi" w:cstheme="majorBidi"/>
                <w:sz w:val="20"/>
                <w:szCs w:val="20"/>
              </w:rPr>
              <w:t xml:space="preserve"> of </w:t>
            </w:r>
            <w:r w:rsidR="00C05A50" w:rsidRPr="001C5A61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>3</w:t>
            </w:r>
            <w:r w:rsidR="00C05A50"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  <w:t>4</w:t>
            </w:r>
            <w:r w:rsidR="00C05A50"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O</w:t>
            </w:r>
            <w:r w:rsidR="00C05A50"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2</w:t>
            </w:r>
            <w:r w:rsidR="00C05A50"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in the upper layer</w:t>
            </w:r>
          </w:p>
        </w:tc>
        <w:tc>
          <w:tcPr>
            <w:tcW w:w="3119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 xml:space="preserve">= 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perscript"/>
              </w:rPr>
              <w:t>18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R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bscript"/>
              </w:rPr>
              <w:t>AIR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*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1.00069333006 </w:t>
            </w:r>
            <w:proofErr w:type="spellStart"/>
            <w:r w:rsidR="002C5971" w:rsidRPr="001C5A61">
              <w:rPr>
                <w:rFonts w:asciiTheme="majorBidi" w:hAnsiTheme="majorBidi" w:cstheme="majorBidi"/>
                <w:sz w:val="20"/>
                <w:szCs w:val="20"/>
              </w:rPr>
              <w:t>mmol</w:t>
            </w:r>
            <w:proofErr w:type="spellEnd"/>
            <w:r w:rsidR="002C5971"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m</w:t>
            </w:r>
            <w:r w:rsidR="002C5971"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2652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  <w:t xml:space="preserve">Knox, 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</w:rPr>
              <w:t>[1992]</w:t>
            </w:r>
          </w:p>
        </w:tc>
      </w:tr>
      <w:tr w:rsidR="00ED1975" w:rsidRPr="001C5A61" w:rsidTr="008A1D64">
        <w:tc>
          <w:tcPr>
            <w:tcW w:w="3085" w:type="dxa"/>
            <w:shd w:val="clear" w:color="auto" w:fill="auto"/>
          </w:tcPr>
          <w:p w:rsidR="00ED1975" w:rsidRPr="001C5A61" w:rsidRDefault="006754CB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32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O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2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deep,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 xml:space="preserve"> 33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O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2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deep,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 xml:space="preserve"> 34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O</w:t>
            </w:r>
            <w:r w:rsidRPr="001C5A61">
              <w:rPr>
                <w:rFonts w:asciiTheme="majorBidi" w:eastAsia="Calibri" w:hAnsiTheme="majorBidi" w:cstheme="majorBidi"/>
                <w:sz w:val="20"/>
                <w:szCs w:val="20"/>
                <w:vertAlign w:val="subscript"/>
              </w:rPr>
              <w:t>2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deep</w:t>
            </w:r>
            <w:r w:rsidR="00C05A50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O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2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concentrations in the bottom layer</w:t>
            </w:r>
          </w:p>
        </w:tc>
        <w:tc>
          <w:tcPr>
            <w:tcW w:w="3119" w:type="dxa"/>
            <w:shd w:val="clear" w:color="auto" w:fill="auto"/>
          </w:tcPr>
          <w:p w:rsidR="00ED1975" w:rsidRPr="001C5A61" w:rsidRDefault="006754CB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  <w:vertAlign w:val="superscript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184, 0.0708, 0.3789 </w:t>
            </w:r>
            <w:proofErr w:type="spellStart"/>
            <w:r w:rsidRPr="001C5A61">
              <w:rPr>
                <w:rFonts w:asciiTheme="majorBidi" w:hAnsiTheme="majorBidi" w:cstheme="majorBidi"/>
                <w:sz w:val="20"/>
                <w:szCs w:val="20"/>
              </w:rPr>
              <w:t>mmol</w:t>
            </w:r>
            <w:proofErr w:type="spellEnd"/>
            <w:r w:rsidRPr="001C5A61">
              <w:rPr>
                <w:rFonts w:asciiTheme="majorBidi" w:hAnsiTheme="majorBidi" w:cstheme="majorBidi"/>
                <w:sz w:val="20"/>
                <w:szCs w:val="20"/>
              </w:rPr>
              <w:t xml:space="preserve"> m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2652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</w:pPr>
          </w:p>
        </w:tc>
      </w:tr>
      <w:tr w:rsidR="00ED1975" w:rsidRPr="001C5A61" w:rsidTr="008A1D64">
        <w:tc>
          <w:tcPr>
            <w:tcW w:w="3085" w:type="dxa"/>
            <w:shd w:val="clear" w:color="auto" w:fill="auto"/>
          </w:tcPr>
          <w:p w:rsidR="00ED1975" w:rsidRPr="001C5A61" w:rsidRDefault="005D55C8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proofErr w:type="spellStart"/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>κ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bscript"/>
              </w:rPr>
              <w:t>ML</w:t>
            </w:r>
            <w:proofErr w:type="spellEnd"/>
            <w:r w:rsid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, eddy-turbulence coefficient in </w:t>
            </w:r>
            <w:r w:rsid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lastRenderedPageBreak/>
              <w:t>the mixed layer</w:t>
            </w:r>
          </w:p>
        </w:tc>
        <w:tc>
          <w:tcPr>
            <w:tcW w:w="3119" w:type="dxa"/>
            <w:shd w:val="clear" w:color="auto" w:fill="auto"/>
          </w:tcPr>
          <w:p w:rsidR="00ED1975" w:rsidRPr="00C05A50" w:rsidRDefault="005D55C8" w:rsidP="00F91152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2.5×10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 xml:space="preserve">-3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 w:rsidR="00C05A5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="00C05A50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652" w:type="dxa"/>
            <w:shd w:val="clear" w:color="auto" w:fill="auto"/>
          </w:tcPr>
          <w:p w:rsidR="00ED1975" w:rsidRPr="001C5A61" w:rsidRDefault="00ED1975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</w:pPr>
          </w:p>
        </w:tc>
      </w:tr>
      <w:tr w:rsidR="005D55C8" w:rsidRPr="001C5A61" w:rsidTr="008A1D64">
        <w:tc>
          <w:tcPr>
            <w:tcW w:w="3085" w:type="dxa"/>
            <w:shd w:val="clear" w:color="auto" w:fill="auto"/>
          </w:tcPr>
          <w:p w:rsidR="005D55C8" w:rsidRPr="001C5A61" w:rsidRDefault="005D55C8" w:rsidP="00F91152">
            <w:pPr>
              <w:spacing w:line="480" w:lineRule="auto"/>
              <w:jc w:val="both"/>
              <w:rPr>
                <w:rFonts w:asciiTheme="majorBidi" w:hAnsiTheme="majorBidi" w:cstheme="majorBidi"/>
                <w:snapToGrid w:val="0"/>
                <w:sz w:val="20"/>
                <w:szCs w:val="20"/>
              </w:rPr>
            </w:pPr>
            <w:proofErr w:type="spellStart"/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lastRenderedPageBreak/>
              <w:t>κ</w:t>
            </w:r>
            <w:r w:rsidRPr="001C5A61">
              <w:rPr>
                <w:rFonts w:asciiTheme="majorBidi" w:hAnsiTheme="majorBidi" w:cstheme="majorBidi"/>
                <w:snapToGrid w:val="0"/>
                <w:sz w:val="20"/>
                <w:szCs w:val="20"/>
                <w:vertAlign w:val="subscript"/>
              </w:rPr>
              <w:t>thermocline</w:t>
            </w:r>
            <w:proofErr w:type="spellEnd"/>
            <w:r w:rsidR="001C5A61">
              <w:rPr>
                <w:rFonts w:asciiTheme="majorBidi" w:hAnsiTheme="majorBidi" w:cstheme="majorBidi"/>
                <w:snapToGrid w:val="0"/>
                <w:sz w:val="20"/>
                <w:szCs w:val="20"/>
              </w:rPr>
              <w:t xml:space="preserve"> eddy-turbulence coefficient in the seasonal thermocline</w:t>
            </w:r>
          </w:p>
        </w:tc>
        <w:tc>
          <w:tcPr>
            <w:tcW w:w="3119" w:type="dxa"/>
            <w:shd w:val="clear" w:color="auto" w:fill="auto"/>
          </w:tcPr>
          <w:p w:rsidR="005D55C8" w:rsidRPr="001C5A61" w:rsidRDefault="005D55C8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1C5A61">
              <w:rPr>
                <w:rFonts w:asciiTheme="majorBidi" w:hAnsiTheme="majorBidi" w:cstheme="majorBidi"/>
                <w:sz w:val="20"/>
                <w:szCs w:val="20"/>
              </w:rPr>
              <w:t>1×10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 xml:space="preserve">-4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 w:rsidRPr="001C5A61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 w:rsidR="00C05A5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="00C05A50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-1</w:t>
            </w:r>
            <w:r w:rsidRPr="001C5A61">
              <w:rPr>
                <w:rFonts w:asciiTheme="majorBidi" w:hAnsiTheme="majorBidi" w:cstheme="majorBidi"/>
                <w:sz w:val="20"/>
                <w:szCs w:val="20"/>
              </w:rPr>
              <w:tab/>
            </w:r>
          </w:p>
        </w:tc>
        <w:tc>
          <w:tcPr>
            <w:tcW w:w="2652" w:type="dxa"/>
            <w:shd w:val="clear" w:color="auto" w:fill="auto"/>
          </w:tcPr>
          <w:p w:rsidR="005D55C8" w:rsidRPr="001C5A61" w:rsidRDefault="005D55C8" w:rsidP="00F91152">
            <w:pPr>
              <w:spacing w:line="480" w:lineRule="auto"/>
              <w:jc w:val="both"/>
              <w:rPr>
                <w:rFonts w:asciiTheme="majorBidi" w:eastAsia="Calibri" w:hAnsiTheme="majorBidi" w:cstheme="majorBidi"/>
                <w:i/>
                <w:iCs/>
                <w:sz w:val="20"/>
                <w:szCs w:val="20"/>
              </w:rPr>
            </w:pPr>
          </w:p>
        </w:tc>
      </w:tr>
    </w:tbl>
    <w:p w:rsidR="008A1D64" w:rsidRPr="001C5A61" w:rsidRDefault="008A1D64" w:rsidP="00F91152">
      <w:pPr>
        <w:spacing w:line="48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2A0DE8" w:rsidRPr="004A3A0E" w:rsidRDefault="002A0DE8" w:rsidP="00F91152">
      <w:pPr>
        <w:pStyle w:val="Heading2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4A3A0E">
        <w:rPr>
          <w:rFonts w:asciiTheme="majorBidi" w:hAnsiTheme="majorBidi" w:cstheme="majorBidi"/>
          <w:sz w:val="24"/>
          <w:szCs w:val="24"/>
        </w:rPr>
        <w:t>Eddy diffusion calculation</w:t>
      </w:r>
    </w:p>
    <w:p w:rsidR="002A0DE8" w:rsidRPr="004A3A0E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napToGrid w:val="0"/>
          <w:sz w:val="24"/>
          <w:szCs w:val="24"/>
        </w:rPr>
      </w:pPr>
      <w:proofErr w:type="spellStart"/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i</w:t>
      </w:r>
      <w:r w:rsidRPr="004A3A0E">
        <w:rPr>
          <w:rFonts w:asciiTheme="majorBidi" w:hAnsiTheme="majorBidi" w:cstheme="majorBidi"/>
          <w:sz w:val="24"/>
          <w:szCs w:val="24"/>
        </w:rPr>
        <w:t>F</w:t>
      </w:r>
      <w:proofErr w:type="spellEnd"/>
      <w:r w:rsidRPr="004A3A0E">
        <w:rPr>
          <w:rFonts w:asciiTheme="majorBidi" w:hAnsiTheme="majorBidi" w:cstheme="majorBidi"/>
          <w:sz w:val="24"/>
          <w:szCs w:val="24"/>
        </w:rPr>
        <w:t>(z)=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 xml:space="preserve"> κ(z-10,t)/10·(</w:t>
      </w:r>
      <w:proofErr w:type="spell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i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O</w:t>
      </w:r>
      <w:proofErr w:type="spellEnd"/>
      <w:r w:rsidRPr="004A3A0E">
        <w:rPr>
          <w:rFonts w:asciiTheme="majorBidi" w:hAnsiTheme="majorBidi" w:cstheme="majorBidi"/>
          <w:snapToGrid w:val="0"/>
          <w:sz w:val="24"/>
          <w:szCs w:val="24"/>
        </w:rPr>
        <w:t>(z-10)-</w:t>
      </w:r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 xml:space="preserve"> </w:t>
      </w:r>
      <w:proofErr w:type="spell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i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O</w:t>
      </w:r>
      <w:proofErr w:type="spellEnd"/>
      <w:r w:rsidRPr="004A3A0E">
        <w:rPr>
          <w:rFonts w:asciiTheme="majorBidi" w:hAnsiTheme="majorBidi" w:cstheme="majorBidi"/>
          <w:snapToGrid w:val="0"/>
          <w:sz w:val="24"/>
          <w:szCs w:val="24"/>
        </w:rPr>
        <w:t xml:space="preserve"> (z))+ κ (</w:t>
      </w:r>
      <w:proofErr w:type="spellStart"/>
      <w:r w:rsidRPr="004A3A0E">
        <w:rPr>
          <w:rFonts w:asciiTheme="majorBidi" w:hAnsiTheme="majorBidi" w:cstheme="majorBidi"/>
          <w:snapToGrid w:val="0"/>
          <w:sz w:val="24"/>
          <w:szCs w:val="24"/>
        </w:rPr>
        <w:t>z,t</w:t>
      </w:r>
      <w:proofErr w:type="spellEnd"/>
      <w:r w:rsidRPr="004A3A0E">
        <w:rPr>
          <w:rFonts w:asciiTheme="majorBidi" w:hAnsiTheme="majorBidi" w:cstheme="majorBidi"/>
          <w:snapToGrid w:val="0"/>
          <w:sz w:val="24"/>
          <w:szCs w:val="24"/>
        </w:rPr>
        <w:t>)/10·(</w:t>
      </w:r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 xml:space="preserve"> </w:t>
      </w:r>
      <w:proofErr w:type="spell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i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O</w:t>
      </w:r>
      <w:proofErr w:type="spellEnd"/>
      <w:r w:rsidRPr="004A3A0E">
        <w:rPr>
          <w:rFonts w:asciiTheme="majorBidi" w:hAnsiTheme="majorBidi" w:cstheme="majorBidi"/>
          <w:snapToGrid w:val="0"/>
          <w:sz w:val="24"/>
          <w:szCs w:val="24"/>
        </w:rPr>
        <w:t xml:space="preserve"> (z+10)-</w:t>
      </w:r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 xml:space="preserve"> </w:t>
      </w:r>
      <w:proofErr w:type="spell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i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O</w:t>
      </w:r>
      <w:proofErr w:type="spellEnd"/>
      <w:r w:rsidRPr="004A3A0E">
        <w:rPr>
          <w:rFonts w:asciiTheme="majorBidi" w:hAnsiTheme="majorBidi" w:cstheme="majorBidi"/>
          <w:snapToGrid w:val="0"/>
          <w:sz w:val="24"/>
          <w:szCs w:val="24"/>
        </w:rPr>
        <w:t xml:space="preserve"> (z))</w:t>
      </w:r>
    </w:p>
    <w:p w:rsidR="002A0DE8" w:rsidRPr="004A3A0E" w:rsidRDefault="002A0DE8" w:rsidP="00F91152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</w:p>
    <w:p w:rsidR="002A0DE8" w:rsidRPr="004A3A0E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napToGrid w:val="0"/>
          <w:sz w:val="24"/>
          <w:szCs w:val="24"/>
          <w:u w:val="single"/>
        </w:rPr>
      </w:pPr>
      <w:r w:rsidRPr="004A3A0E">
        <w:rPr>
          <w:rFonts w:asciiTheme="majorBidi" w:hAnsiTheme="majorBidi" w:cstheme="majorBidi"/>
          <w:snapToGrid w:val="0"/>
          <w:sz w:val="24"/>
          <w:szCs w:val="24"/>
          <w:u w:val="single"/>
        </w:rPr>
        <w:t>Gross production calculation</w:t>
      </w:r>
    </w:p>
    <w:p w:rsidR="002A0DE8" w:rsidRPr="004A3A0E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napToGrid w:val="0"/>
          <w:sz w:val="24"/>
          <w:szCs w:val="24"/>
        </w:rPr>
      </w:pPr>
      <w:proofErr w:type="gram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16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P(</w:t>
      </w:r>
      <w:proofErr w:type="gramEnd"/>
      <w:r w:rsidRPr="004A3A0E">
        <w:rPr>
          <w:rFonts w:asciiTheme="majorBidi" w:hAnsiTheme="majorBidi" w:cstheme="majorBidi"/>
          <w:snapToGrid w:val="0"/>
          <w:sz w:val="24"/>
          <w:szCs w:val="24"/>
        </w:rPr>
        <w:t>z)=GOP</w:t>
      </w:r>
      <w:r>
        <w:rPr>
          <w:rFonts w:asciiTheme="majorBidi" w:hAnsiTheme="majorBidi" w:cstheme="majorBidi"/>
          <w:snapToGrid w:val="0"/>
          <w:sz w:val="24"/>
          <w:szCs w:val="24"/>
        </w:rPr>
        <w:t xml:space="preserve"> </w:t>
      </w:r>
    </w:p>
    <w:p w:rsidR="002A0DE8" w:rsidRPr="004A3A0E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napToGrid w:val="0"/>
          <w:sz w:val="24"/>
          <w:szCs w:val="24"/>
        </w:rPr>
      </w:pPr>
      <w:proofErr w:type="gram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18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P(</w:t>
      </w:r>
      <w:proofErr w:type="gramEnd"/>
      <w:r w:rsidRPr="004A3A0E">
        <w:rPr>
          <w:rFonts w:asciiTheme="majorBidi" w:hAnsiTheme="majorBidi" w:cstheme="majorBidi"/>
          <w:snapToGrid w:val="0"/>
          <w:sz w:val="24"/>
          <w:szCs w:val="24"/>
        </w:rPr>
        <w:t>z)=GOP·</w:t>
      </w:r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18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R</w:t>
      </w:r>
      <w:r w:rsidRPr="004A3A0E">
        <w:rPr>
          <w:rFonts w:asciiTheme="majorBidi" w:hAnsiTheme="majorBidi" w:cstheme="majorBidi"/>
          <w:snapToGrid w:val="0"/>
          <w:sz w:val="24"/>
          <w:szCs w:val="24"/>
          <w:vertAlign w:val="subscript"/>
        </w:rPr>
        <w:t>p</w:t>
      </w:r>
    </w:p>
    <w:p w:rsidR="002A0DE8" w:rsidRPr="004A3A0E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napToGrid w:val="0"/>
          <w:sz w:val="24"/>
          <w:szCs w:val="24"/>
          <w:vertAlign w:val="subscript"/>
        </w:rPr>
      </w:pPr>
      <w:proofErr w:type="gram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17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P(</w:t>
      </w:r>
      <w:proofErr w:type="gramEnd"/>
      <w:r w:rsidRPr="004A3A0E">
        <w:rPr>
          <w:rFonts w:asciiTheme="majorBidi" w:hAnsiTheme="majorBidi" w:cstheme="majorBidi"/>
          <w:snapToGrid w:val="0"/>
          <w:sz w:val="24"/>
          <w:szCs w:val="24"/>
        </w:rPr>
        <w:t>z)=GOP·</w:t>
      </w:r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17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R</w:t>
      </w:r>
      <w:r w:rsidRPr="004A3A0E">
        <w:rPr>
          <w:rFonts w:asciiTheme="majorBidi" w:hAnsiTheme="majorBidi" w:cstheme="majorBidi"/>
          <w:snapToGrid w:val="0"/>
          <w:sz w:val="24"/>
          <w:szCs w:val="24"/>
          <w:vertAlign w:val="subscript"/>
        </w:rPr>
        <w:t>p</w:t>
      </w:r>
    </w:p>
    <w:p w:rsidR="002A0DE8" w:rsidRPr="004A3A0E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napToGrid w:val="0"/>
          <w:sz w:val="24"/>
          <w:szCs w:val="24"/>
        </w:rPr>
      </w:pPr>
    </w:p>
    <w:p w:rsidR="002A0DE8" w:rsidRPr="004A3A0E" w:rsidRDefault="002A0DE8" w:rsidP="00F91152">
      <w:pPr>
        <w:pStyle w:val="Heading2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4A3A0E">
        <w:rPr>
          <w:rFonts w:asciiTheme="majorBidi" w:hAnsiTheme="majorBidi" w:cstheme="majorBidi"/>
          <w:sz w:val="24"/>
          <w:szCs w:val="24"/>
        </w:rPr>
        <w:t>Respiration calculation</w:t>
      </w:r>
    </w:p>
    <w:p w:rsidR="002A0DE8" w:rsidRPr="004A3A0E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16</w:t>
      </w:r>
      <w:r w:rsidRPr="004A3A0E">
        <w:rPr>
          <w:rFonts w:asciiTheme="majorBidi" w:hAnsiTheme="majorBidi" w:cstheme="majorBidi"/>
          <w:sz w:val="24"/>
          <w:szCs w:val="24"/>
        </w:rPr>
        <w:t>Resp(</w:t>
      </w:r>
      <w:proofErr w:type="gramEnd"/>
      <w:r w:rsidRPr="004A3A0E">
        <w:rPr>
          <w:rFonts w:asciiTheme="majorBidi" w:hAnsiTheme="majorBidi" w:cstheme="majorBidi"/>
          <w:sz w:val="24"/>
          <w:szCs w:val="24"/>
        </w:rPr>
        <w:t>z)=0.85*GOP</w:t>
      </w:r>
    </w:p>
    <w:p w:rsidR="002A0DE8" w:rsidRPr="004A3A0E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18</w:t>
      </w:r>
      <w:r w:rsidRPr="004A3A0E">
        <w:rPr>
          <w:rFonts w:asciiTheme="majorBidi" w:hAnsiTheme="majorBidi" w:cstheme="majorBidi"/>
          <w:sz w:val="24"/>
          <w:szCs w:val="24"/>
        </w:rPr>
        <w:t>Resp(</w:t>
      </w:r>
      <w:proofErr w:type="gramEnd"/>
      <w:r w:rsidRPr="004A3A0E">
        <w:rPr>
          <w:rFonts w:asciiTheme="majorBidi" w:hAnsiTheme="majorBidi" w:cstheme="majorBidi"/>
          <w:sz w:val="24"/>
          <w:szCs w:val="24"/>
        </w:rPr>
        <w:t>z)=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 xml:space="preserve"> </w:t>
      </w:r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16</w:t>
      </w:r>
      <w:r w:rsidRPr="004A3A0E">
        <w:rPr>
          <w:rFonts w:asciiTheme="majorBidi" w:hAnsiTheme="majorBidi" w:cstheme="majorBidi"/>
          <w:sz w:val="24"/>
          <w:szCs w:val="24"/>
        </w:rPr>
        <w:t>Resp(z) *(1-</w:t>
      </w:r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18</w:t>
      </w:r>
      <w:r>
        <w:rPr>
          <w:rFonts w:asciiTheme="majorBidi" w:hAnsiTheme="majorBidi" w:cstheme="majorBidi"/>
          <w:sz w:val="24"/>
          <w:szCs w:val="24"/>
        </w:rPr>
        <w:t>α</w:t>
      </w:r>
      <w:r w:rsidRPr="00E17744">
        <w:rPr>
          <w:rFonts w:asciiTheme="majorBidi" w:hAnsiTheme="majorBidi" w:cstheme="majorBidi"/>
          <w:sz w:val="24"/>
          <w:szCs w:val="24"/>
          <w:vertAlign w:val="subscript"/>
        </w:rPr>
        <w:t>r</w:t>
      </w:r>
      <w:r w:rsidRPr="004A3A0E">
        <w:rPr>
          <w:rFonts w:asciiTheme="majorBidi" w:hAnsiTheme="majorBidi" w:cstheme="majorBidi"/>
          <w:sz w:val="24"/>
          <w:szCs w:val="24"/>
        </w:rPr>
        <w:t xml:space="preserve"> /1000)*(</w:t>
      </w:r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18</w:t>
      </w:r>
      <w:r w:rsidRPr="004A3A0E">
        <w:rPr>
          <w:rFonts w:asciiTheme="majorBidi" w:hAnsiTheme="majorBidi" w:cstheme="majorBidi"/>
          <w:sz w:val="24"/>
          <w:szCs w:val="24"/>
        </w:rPr>
        <w:t>O/</w:t>
      </w:r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16</w:t>
      </w:r>
      <w:r w:rsidRPr="004A3A0E">
        <w:rPr>
          <w:rFonts w:asciiTheme="majorBidi" w:hAnsiTheme="majorBidi" w:cstheme="majorBidi"/>
          <w:sz w:val="24"/>
          <w:szCs w:val="24"/>
        </w:rPr>
        <w:t>O)(z)</w:t>
      </w:r>
    </w:p>
    <w:p w:rsidR="002A0DE8" w:rsidRPr="004A3A0E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napToGrid w:val="0"/>
          <w:sz w:val="24"/>
          <w:szCs w:val="24"/>
          <w:u w:val="single"/>
        </w:rPr>
      </w:pPr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17</w:t>
      </w:r>
      <w:r w:rsidRPr="004A3A0E">
        <w:rPr>
          <w:rFonts w:asciiTheme="majorBidi" w:hAnsiTheme="majorBidi" w:cstheme="majorBidi"/>
          <w:sz w:val="24"/>
          <w:szCs w:val="24"/>
        </w:rPr>
        <w:t>Resp(z)=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 xml:space="preserve"> </w:t>
      </w:r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16</w:t>
      </w:r>
      <w:r w:rsidRPr="004A3A0E">
        <w:rPr>
          <w:rFonts w:asciiTheme="majorBidi" w:hAnsiTheme="majorBidi" w:cstheme="majorBidi"/>
          <w:sz w:val="24"/>
          <w:szCs w:val="24"/>
        </w:rPr>
        <w:t>Resp(z) *(1-</w:t>
      </w:r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17</w:t>
      </w:r>
      <w:r>
        <w:rPr>
          <w:rFonts w:asciiTheme="majorBidi" w:hAnsiTheme="majorBidi" w:cstheme="majorBidi"/>
          <w:sz w:val="24"/>
          <w:szCs w:val="24"/>
        </w:rPr>
        <w:t>α</w:t>
      </w:r>
      <w:r w:rsidRPr="00E17744">
        <w:rPr>
          <w:rFonts w:asciiTheme="majorBidi" w:hAnsiTheme="majorBidi" w:cstheme="majorBidi"/>
          <w:sz w:val="24"/>
          <w:szCs w:val="24"/>
          <w:vertAlign w:val="subscript"/>
        </w:rPr>
        <w:t>r</w:t>
      </w:r>
      <w:r w:rsidRPr="004A3A0E">
        <w:rPr>
          <w:rFonts w:asciiTheme="majorBidi" w:hAnsiTheme="majorBidi" w:cstheme="majorBidi"/>
          <w:sz w:val="24"/>
          <w:szCs w:val="24"/>
        </w:rPr>
        <w:t xml:space="preserve"> /1000)*(</w:t>
      </w:r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="00F378D0">
        <w:rPr>
          <w:rFonts w:asciiTheme="majorBidi" w:hAnsiTheme="majorBidi" w:cstheme="majorBidi"/>
          <w:sz w:val="24"/>
          <w:szCs w:val="24"/>
          <w:vertAlign w:val="superscript"/>
        </w:rPr>
        <w:t>7</w:t>
      </w:r>
      <w:r w:rsidRPr="004A3A0E">
        <w:rPr>
          <w:rFonts w:asciiTheme="majorBidi" w:hAnsiTheme="majorBidi" w:cstheme="majorBidi"/>
          <w:sz w:val="24"/>
          <w:szCs w:val="24"/>
        </w:rPr>
        <w:t>O/</w:t>
      </w:r>
      <w:r w:rsidRPr="004A3A0E">
        <w:rPr>
          <w:rFonts w:asciiTheme="majorBidi" w:hAnsiTheme="majorBidi" w:cstheme="majorBidi"/>
          <w:sz w:val="24"/>
          <w:szCs w:val="24"/>
          <w:vertAlign w:val="superscript"/>
        </w:rPr>
        <w:t>16</w:t>
      </w:r>
      <w:r w:rsidRPr="004A3A0E">
        <w:rPr>
          <w:rFonts w:asciiTheme="majorBidi" w:hAnsiTheme="majorBidi" w:cstheme="majorBidi"/>
          <w:sz w:val="24"/>
          <w:szCs w:val="24"/>
        </w:rPr>
        <w:t xml:space="preserve">O)(z)   </w:t>
      </w:r>
    </w:p>
    <w:p w:rsidR="002A0DE8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napToGrid w:val="0"/>
          <w:sz w:val="24"/>
          <w:szCs w:val="24"/>
          <w:u w:val="single"/>
        </w:rPr>
      </w:pPr>
    </w:p>
    <w:p w:rsidR="002A0DE8" w:rsidRPr="004A3A0E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napToGrid w:val="0"/>
          <w:sz w:val="24"/>
          <w:szCs w:val="24"/>
          <w:u w:val="single"/>
        </w:rPr>
      </w:pPr>
      <w:r w:rsidRPr="004A3A0E">
        <w:rPr>
          <w:rFonts w:asciiTheme="majorBidi" w:hAnsiTheme="majorBidi" w:cstheme="majorBidi"/>
          <w:snapToGrid w:val="0"/>
          <w:sz w:val="24"/>
          <w:szCs w:val="24"/>
          <w:u w:val="single"/>
        </w:rPr>
        <w:t>Iteration</w:t>
      </w:r>
    </w:p>
    <w:p w:rsidR="002A0DE8" w:rsidRPr="004A3A0E" w:rsidRDefault="002A0DE8" w:rsidP="00F9115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spacing w:line="480" w:lineRule="auto"/>
        <w:jc w:val="both"/>
        <w:rPr>
          <w:rFonts w:asciiTheme="majorBidi" w:hAnsiTheme="majorBidi" w:cstheme="majorBidi"/>
          <w:snapToGrid w:val="0"/>
          <w:sz w:val="24"/>
          <w:szCs w:val="24"/>
        </w:rPr>
      </w:pPr>
      <w:proofErr w:type="spell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lastRenderedPageBreak/>
        <w:t>i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O</w:t>
      </w:r>
      <w:proofErr w:type="spellEnd"/>
      <w:r w:rsidRPr="004A3A0E">
        <w:rPr>
          <w:rFonts w:asciiTheme="majorBidi" w:hAnsiTheme="majorBidi" w:cstheme="majorBidi"/>
          <w:snapToGrid w:val="0"/>
          <w:sz w:val="24"/>
          <w:szCs w:val="24"/>
        </w:rPr>
        <w:t>(z)=</w:t>
      </w:r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 xml:space="preserve"> </w:t>
      </w:r>
      <w:proofErr w:type="spell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i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O</w:t>
      </w:r>
      <w:proofErr w:type="spellEnd"/>
      <w:r w:rsidRPr="004A3A0E">
        <w:rPr>
          <w:rFonts w:asciiTheme="majorBidi" w:hAnsiTheme="majorBidi" w:cstheme="majorBidi"/>
          <w:snapToGrid w:val="0"/>
          <w:sz w:val="24"/>
          <w:szCs w:val="24"/>
        </w:rPr>
        <w:t>(z) +</w:t>
      </w:r>
      <w:proofErr w:type="spell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i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F</w:t>
      </w:r>
      <w:proofErr w:type="spellEnd"/>
      <w:r w:rsidRPr="004A3A0E">
        <w:rPr>
          <w:rFonts w:asciiTheme="majorBidi" w:hAnsiTheme="majorBidi" w:cstheme="majorBidi"/>
          <w:snapToGrid w:val="0"/>
          <w:sz w:val="24"/>
          <w:szCs w:val="24"/>
        </w:rPr>
        <w:t>(z)/10·</w:t>
      </w:r>
      <w:r w:rsidR="00DE7D70" w:rsidRPr="00DE7D70">
        <w:rPr>
          <w:rFonts w:ascii="Symbol" w:hAnsi="Symbol" w:cstheme="majorBidi"/>
          <w:snapToGrid w:val="0"/>
          <w:sz w:val="24"/>
          <w:szCs w:val="24"/>
        </w:rPr>
        <w:t>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 xml:space="preserve">T + </w:t>
      </w:r>
      <w:proofErr w:type="spell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i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P</w:t>
      </w:r>
      <w:proofErr w:type="spellEnd"/>
      <w:r w:rsidRPr="004A3A0E">
        <w:rPr>
          <w:rFonts w:asciiTheme="majorBidi" w:hAnsiTheme="majorBidi" w:cstheme="majorBidi"/>
          <w:snapToGrid w:val="0"/>
          <w:sz w:val="24"/>
          <w:szCs w:val="24"/>
        </w:rPr>
        <w:t>(z)·</w:t>
      </w:r>
      <w:r w:rsidR="00DE7D70" w:rsidRPr="00DE7D70">
        <w:rPr>
          <w:rFonts w:ascii="Symbol" w:hAnsi="Symbol" w:cstheme="majorBidi"/>
          <w:snapToGrid w:val="0"/>
          <w:sz w:val="24"/>
          <w:szCs w:val="24"/>
        </w:rPr>
        <w:t>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 xml:space="preserve">T- </w:t>
      </w:r>
      <w:proofErr w:type="spellStart"/>
      <w:r w:rsidRPr="004A3A0E">
        <w:rPr>
          <w:rFonts w:asciiTheme="majorBidi" w:hAnsiTheme="majorBidi" w:cstheme="majorBidi"/>
          <w:snapToGrid w:val="0"/>
          <w:sz w:val="24"/>
          <w:szCs w:val="24"/>
          <w:vertAlign w:val="superscript"/>
        </w:rPr>
        <w:t>i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Resp</w:t>
      </w:r>
      <w:proofErr w:type="spellEnd"/>
      <w:r w:rsidRPr="004A3A0E">
        <w:rPr>
          <w:rFonts w:asciiTheme="majorBidi" w:hAnsiTheme="majorBidi" w:cstheme="majorBidi"/>
          <w:snapToGrid w:val="0"/>
          <w:sz w:val="24"/>
          <w:szCs w:val="24"/>
        </w:rPr>
        <w:t>(z)·</w:t>
      </w:r>
      <w:r w:rsidR="00DE7D70" w:rsidRPr="00DE7D70">
        <w:rPr>
          <w:rFonts w:ascii="Symbol" w:hAnsi="Symbol" w:cstheme="majorBidi"/>
          <w:snapToGrid w:val="0"/>
          <w:sz w:val="24"/>
          <w:szCs w:val="24"/>
        </w:rPr>
        <w:t></w:t>
      </w:r>
      <w:r w:rsidRPr="004A3A0E">
        <w:rPr>
          <w:rFonts w:asciiTheme="majorBidi" w:hAnsiTheme="majorBidi" w:cstheme="majorBidi"/>
          <w:snapToGrid w:val="0"/>
          <w:sz w:val="24"/>
          <w:szCs w:val="24"/>
        </w:rPr>
        <w:t>T</w:t>
      </w:r>
    </w:p>
    <w:p w:rsidR="00E75D61" w:rsidRPr="00181ABD" w:rsidRDefault="00181ABD" w:rsidP="00F91152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181ABD">
        <w:rPr>
          <w:rFonts w:asciiTheme="majorBidi" w:hAnsiTheme="majorBidi" w:cstheme="majorBidi"/>
          <w:sz w:val="24"/>
          <w:szCs w:val="24"/>
          <w:u w:val="single"/>
        </w:rPr>
        <w:t>Reference</w:t>
      </w:r>
      <w:r w:rsidR="00B55EA7">
        <w:rPr>
          <w:rFonts w:asciiTheme="majorBidi" w:hAnsiTheme="majorBidi" w:cstheme="majorBidi"/>
          <w:sz w:val="24"/>
          <w:szCs w:val="24"/>
          <w:u w:val="single"/>
        </w:rPr>
        <w:t>s</w:t>
      </w:r>
      <w:r w:rsidRPr="00181ABD">
        <w:rPr>
          <w:rFonts w:asciiTheme="majorBidi" w:hAnsiTheme="majorBidi" w:cstheme="majorBidi"/>
          <w:sz w:val="24"/>
          <w:szCs w:val="24"/>
          <w:u w:val="single"/>
        </w:rPr>
        <w:t>:</w:t>
      </w:r>
    </w:p>
    <w:p w:rsidR="000D2B85" w:rsidRPr="003679B3" w:rsidRDefault="000D2B85" w:rsidP="00F9115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</w:pPr>
      <w:proofErr w:type="spellStart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Angert</w:t>
      </w:r>
      <w:proofErr w:type="spellEnd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, A., </w:t>
      </w:r>
      <w:proofErr w:type="spellStart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Rachmilevitch</w:t>
      </w:r>
      <w:proofErr w:type="spellEnd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, S., Barkan, E., and Luz, B.: Effects of photorespiration, the </w:t>
      </w:r>
      <w:proofErr w:type="spellStart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cytochrome</w:t>
      </w:r>
      <w:proofErr w:type="spellEnd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 pathway, and the alternative pathway on the triple isotopic composition of atmospheric O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val="en-GB" w:eastAsia="de-DE" w:bidi="ar-SA"/>
        </w:rPr>
        <w:t>2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, Global Biogeochemical Cycles, 17, 10.1029/2002gb001933, 2003.</w:t>
      </w:r>
    </w:p>
    <w:p w:rsidR="000D2B85" w:rsidRPr="003679B3" w:rsidRDefault="000D2B85" w:rsidP="00F9115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</w:pPr>
      <w:proofErr w:type="spellStart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Coplen</w:t>
      </w:r>
      <w:proofErr w:type="spellEnd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, T. B., </w:t>
      </w:r>
      <w:proofErr w:type="spellStart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Böhlke</w:t>
      </w:r>
      <w:proofErr w:type="spellEnd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, J. K., De </w:t>
      </w:r>
      <w:proofErr w:type="spellStart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Bievre</w:t>
      </w:r>
      <w:proofErr w:type="spellEnd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, P., Ding, T., Holden, N., Hopple, J., </w:t>
      </w:r>
      <w:proofErr w:type="spellStart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Krouse</w:t>
      </w:r>
      <w:proofErr w:type="spellEnd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, H., </w:t>
      </w:r>
      <w:proofErr w:type="spellStart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Lamberty</w:t>
      </w:r>
      <w:proofErr w:type="spellEnd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, A., </w:t>
      </w:r>
      <w:proofErr w:type="spellStart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Peiser</w:t>
      </w:r>
      <w:proofErr w:type="spellEnd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, H., and </w:t>
      </w:r>
      <w:proofErr w:type="spellStart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Revesz</w:t>
      </w:r>
      <w:proofErr w:type="spellEnd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, K.: Isotope-abundance variations of selected elements (IUPAC Technical Report), Pure and Applied Chemistry, 74, 1987-2017, 2002.</w:t>
      </w:r>
    </w:p>
    <w:p w:rsidR="000D2B85" w:rsidRPr="003679B3" w:rsidRDefault="000D2B85" w:rsidP="00F9115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</w:pP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Hendricks, M. B., Bender, M. L., and Barnett, B. A.: Net and gross O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val="en-GB" w:eastAsia="de-DE" w:bidi="ar-SA"/>
        </w:rPr>
        <w:t>2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 production in the southern ocean from measurements of biological O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val="en-GB" w:eastAsia="de-DE" w:bidi="ar-SA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Ar</w:t>
      </w:r>
      <w:proofErr w:type="spellEnd"/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 saturation and its triple isotope composition, Deep Sea Research Part I: Oceanographic Research Papers, 51, 1541-1561, 2004.</w:t>
      </w:r>
    </w:p>
    <w:p w:rsidR="000D2B85" w:rsidRPr="003679B3" w:rsidRDefault="000D2B85" w:rsidP="00F9115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</w:pP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Knox, M., Quay, P., and Wilbur, D.: Kinetic isotopic fractionation during air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-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water gas transfer of O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val="en-GB" w:eastAsia="de-DE" w:bidi="ar-SA"/>
        </w:rPr>
        <w:t>2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, N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val="en-GB" w:eastAsia="de-DE" w:bidi="ar-SA"/>
        </w:rPr>
        <w:t>2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, CH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val="en-GB" w:eastAsia="de-DE" w:bidi="ar-SA"/>
        </w:rPr>
        <w:t>4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, and H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val="en-GB" w:eastAsia="de-DE" w:bidi="ar-SA"/>
        </w:rPr>
        <w:t>2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, Journal of Geophysical Research: Oceans (1978–2012), 97, 20335-20343, 1992.</w:t>
      </w:r>
    </w:p>
    <w:p w:rsidR="000D2B85" w:rsidRPr="003679B3" w:rsidRDefault="000D2B85" w:rsidP="00F9115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</w:pP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Luz, B., and Barkan, E.: Oxygen isotope fractionation in the ocean surface and 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val="en-GB" w:eastAsia="de-DE" w:bidi="ar-SA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val="en-GB" w:eastAsia="de-DE" w:bidi="ar-SA"/>
        </w:rPr>
        <w:t>7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O/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val="en-GB" w:eastAsia="de-DE" w:bidi="ar-SA"/>
        </w:rPr>
        <w:t>16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 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of atmospheric O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val="en-GB" w:eastAsia="de-DE" w:bidi="ar-SA"/>
        </w:rPr>
        <w:t>2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, Global Biogeochemical Cycles, 25, 10.1029/2011gb004178, 2011a.</w:t>
      </w:r>
    </w:p>
    <w:p w:rsidR="000D2B85" w:rsidRPr="003679B3" w:rsidRDefault="000D2B85" w:rsidP="00F9115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</w:pP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Luz, B., and Barkan, E.: Proper estimation of marine gross O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val="en-GB" w:eastAsia="de-DE" w:bidi="ar-SA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 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production with 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val="en-GB" w:eastAsia="de-DE" w:bidi="ar-SA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val="en-GB" w:eastAsia="de-DE" w:bidi="ar-SA"/>
        </w:rPr>
        <w:t>7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O/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val="en-GB" w:eastAsia="de-DE" w:bidi="ar-SA"/>
        </w:rPr>
        <w:t>16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O and 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val="en-GB" w:eastAsia="de-DE" w:bidi="ar-SA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val="en-GB" w:eastAsia="de-DE" w:bidi="ar-SA"/>
        </w:rPr>
        <w:t>8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O/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val="en-GB" w:eastAsia="de-DE" w:bidi="ar-SA"/>
        </w:rPr>
        <w:t>16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O ratios of dissolved O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vertAlign w:val="subscript"/>
          <w:lang w:val="en-GB" w:eastAsia="de-DE" w:bidi="ar-SA"/>
        </w:rPr>
        <w:t>2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, Geophysical Research Letters, 38, 10.1029/2011gl049138, 2011b.</w:t>
      </w:r>
    </w:p>
    <w:p w:rsidR="000D2B85" w:rsidRPr="003679B3" w:rsidRDefault="000D2B85" w:rsidP="00F9115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</w:pP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Quay, P. D., Emerson, S., Wilbur, D. O., Stump, C., and Knox, M.: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 xml:space="preserve">The </w:t>
      </w:r>
      <w:r w:rsidRPr="003679B3">
        <w:rPr>
          <w:rFonts w:ascii="Symbol" w:eastAsia="Times New Roman" w:hAnsi="Symbol" w:cs="Times New Roman"/>
          <w:color w:val="000000"/>
          <w:sz w:val="24"/>
          <w:szCs w:val="20"/>
          <w:lang w:val="en-GB" w:eastAsia="de-DE" w:bidi="ar-SA"/>
        </w:rPr>
        <w:t></w:t>
      </w:r>
      <w:r>
        <w:rPr>
          <w:rFonts w:asciiTheme="majorBidi" w:eastAsia="Times New Roman" w:hAnsiTheme="majorBidi" w:cstheme="majorBidi"/>
          <w:color w:val="000000"/>
          <w:sz w:val="24"/>
          <w:szCs w:val="20"/>
          <w:vertAlign w:val="superscript"/>
          <w:lang w:val="en-GB" w:eastAsia="de-DE" w:bidi="ar-SA"/>
        </w:rPr>
        <w:t>18</w:t>
      </w:r>
      <w:r>
        <w:rPr>
          <w:rFonts w:asciiTheme="majorBidi" w:eastAsia="Times New Roman" w:hAnsiTheme="majorBidi" w:cstheme="majorBidi"/>
          <w:color w:val="000000"/>
          <w:sz w:val="24"/>
          <w:szCs w:val="20"/>
          <w:lang w:val="en-GB" w:eastAsia="de-DE" w:bidi="ar-SA"/>
        </w:rPr>
        <w:t xml:space="preserve">O of dissolved </w:t>
      </w:r>
      <w:r w:rsidRPr="003679B3">
        <w:rPr>
          <w:rFonts w:asciiTheme="majorBidi" w:eastAsia="Times New Roman" w:hAnsiTheme="majorBidi" w:cstheme="majorBidi"/>
          <w:color w:val="000000"/>
          <w:sz w:val="24"/>
          <w:szCs w:val="20"/>
          <w:lang w:val="en-GB" w:eastAsia="de-DE" w:bidi="ar-SA"/>
        </w:rPr>
        <w:t>O</w:t>
      </w:r>
      <w:r w:rsidRPr="003679B3">
        <w:rPr>
          <w:rFonts w:asciiTheme="majorBidi" w:eastAsia="Times New Roman" w:hAnsiTheme="majorBidi" w:cstheme="majorBidi"/>
          <w:color w:val="000000"/>
          <w:sz w:val="24"/>
          <w:szCs w:val="20"/>
          <w:vertAlign w:val="subscript"/>
          <w:lang w:val="en-GB" w:eastAsia="de-DE" w:bidi="ar-SA"/>
        </w:rPr>
        <w:t>2</w:t>
      </w:r>
      <w:r>
        <w:rPr>
          <w:rFonts w:asciiTheme="majorBidi" w:eastAsia="Times New Roman" w:hAnsiTheme="majorBidi" w:cstheme="majorBidi"/>
          <w:color w:val="000000"/>
          <w:sz w:val="24"/>
          <w:szCs w:val="20"/>
          <w:lang w:val="en-GB" w:eastAsia="de-DE" w:bidi="ar-SA"/>
        </w:rPr>
        <w:t xml:space="preserve"> in the surface waters of the sub-arctic Pacific – a tracer of biological productivity</w:t>
      </w:r>
      <w:r w:rsidRPr="003679B3">
        <w:rPr>
          <w:rFonts w:ascii="Times New Roman" w:eastAsia="Times New Roman" w:hAnsi="Times New Roman" w:cs="Times New Roman"/>
          <w:color w:val="000000"/>
          <w:sz w:val="24"/>
          <w:szCs w:val="20"/>
          <w:lang w:val="en-GB" w:eastAsia="de-DE" w:bidi="ar-SA"/>
        </w:rPr>
        <w:t>, Journal of Geophysical Research-Oceans, 98, 8447-8458, 10.1029/92jc03017, 1993.</w:t>
      </w:r>
    </w:p>
    <w:p w:rsidR="005E7CA9" w:rsidRPr="000D2B85" w:rsidRDefault="005E7CA9" w:rsidP="00F91152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sectPr w:rsidR="005E7CA9" w:rsidRPr="000D2B85" w:rsidSect="009224DC">
      <w:pgSz w:w="12240" w:h="15840"/>
      <w:pgMar w:top="1440" w:right="1440" w:bottom="1440" w:left="1440" w:header="720" w:footer="720" w:gutter="0"/>
      <w:lnNumType w:countBy="1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21C87D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riam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endy Paul">
    <w15:presenceInfo w15:providerId="Windows Live" w15:userId="c5fe7a2e5c1e7ed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95200"/>
    <w:rsid w:val="00003E59"/>
    <w:rsid w:val="0000693B"/>
    <w:rsid w:val="00025309"/>
    <w:rsid w:val="00025E5E"/>
    <w:rsid w:val="00034510"/>
    <w:rsid w:val="0003551B"/>
    <w:rsid w:val="00036F62"/>
    <w:rsid w:val="00037CD4"/>
    <w:rsid w:val="00050BC7"/>
    <w:rsid w:val="00074199"/>
    <w:rsid w:val="00076E7B"/>
    <w:rsid w:val="000A18A4"/>
    <w:rsid w:val="000A36DE"/>
    <w:rsid w:val="000D2B85"/>
    <w:rsid w:val="000E4D4E"/>
    <w:rsid w:val="00107D43"/>
    <w:rsid w:val="001249A7"/>
    <w:rsid w:val="00125D1A"/>
    <w:rsid w:val="001617F3"/>
    <w:rsid w:val="00181ABD"/>
    <w:rsid w:val="00186C13"/>
    <w:rsid w:val="001C5A61"/>
    <w:rsid w:val="001D5569"/>
    <w:rsid w:val="0024208C"/>
    <w:rsid w:val="00273DEA"/>
    <w:rsid w:val="00274A5C"/>
    <w:rsid w:val="00295200"/>
    <w:rsid w:val="002A0DE8"/>
    <w:rsid w:val="002A0EAB"/>
    <w:rsid w:val="002C03A1"/>
    <w:rsid w:val="002C5971"/>
    <w:rsid w:val="002D750B"/>
    <w:rsid w:val="002F40D4"/>
    <w:rsid w:val="00340818"/>
    <w:rsid w:val="003416A3"/>
    <w:rsid w:val="00341D66"/>
    <w:rsid w:val="00344B09"/>
    <w:rsid w:val="003849AC"/>
    <w:rsid w:val="0038618C"/>
    <w:rsid w:val="003878D2"/>
    <w:rsid w:val="003901A3"/>
    <w:rsid w:val="003A0728"/>
    <w:rsid w:val="003C0C15"/>
    <w:rsid w:val="003D3C99"/>
    <w:rsid w:val="003E5F69"/>
    <w:rsid w:val="00440561"/>
    <w:rsid w:val="004747D0"/>
    <w:rsid w:val="004933C9"/>
    <w:rsid w:val="00494982"/>
    <w:rsid w:val="004B1A78"/>
    <w:rsid w:val="004D1384"/>
    <w:rsid w:val="004D4E94"/>
    <w:rsid w:val="004E0172"/>
    <w:rsid w:val="004E1067"/>
    <w:rsid w:val="004E55F7"/>
    <w:rsid w:val="004E5699"/>
    <w:rsid w:val="00520735"/>
    <w:rsid w:val="00557394"/>
    <w:rsid w:val="005636E9"/>
    <w:rsid w:val="005920F1"/>
    <w:rsid w:val="005A2DB8"/>
    <w:rsid w:val="005A4F66"/>
    <w:rsid w:val="005B56F5"/>
    <w:rsid w:val="005B588A"/>
    <w:rsid w:val="005B5AC1"/>
    <w:rsid w:val="005C25B3"/>
    <w:rsid w:val="005C43EF"/>
    <w:rsid w:val="005D55C8"/>
    <w:rsid w:val="005D61D1"/>
    <w:rsid w:val="005E2724"/>
    <w:rsid w:val="005E7CA9"/>
    <w:rsid w:val="005F43DF"/>
    <w:rsid w:val="00602800"/>
    <w:rsid w:val="006137A1"/>
    <w:rsid w:val="006306BD"/>
    <w:rsid w:val="0066578A"/>
    <w:rsid w:val="00666012"/>
    <w:rsid w:val="006739C2"/>
    <w:rsid w:val="006754CB"/>
    <w:rsid w:val="00682889"/>
    <w:rsid w:val="00683175"/>
    <w:rsid w:val="00685208"/>
    <w:rsid w:val="006A0E79"/>
    <w:rsid w:val="006A5B13"/>
    <w:rsid w:val="006A5C42"/>
    <w:rsid w:val="006B679C"/>
    <w:rsid w:val="006B6BAD"/>
    <w:rsid w:val="006F5687"/>
    <w:rsid w:val="00707613"/>
    <w:rsid w:val="00723F22"/>
    <w:rsid w:val="00726A08"/>
    <w:rsid w:val="007328D0"/>
    <w:rsid w:val="0074232D"/>
    <w:rsid w:val="00766FAD"/>
    <w:rsid w:val="0079545B"/>
    <w:rsid w:val="007B2BB1"/>
    <w:rsid w:val="007D4CD0"/>
    <w:rsid w:val="007E0A85"/>
    <w:rsid w:val="007E74B2"/>
    <w:rsid w:val="0080336D"/>
    <w:rsid w:val="00813A88"/>
    <w:rsid w:val="008222AA"/>
    <w:rsid w:val="00830B2E"/>
    <w:rsid w:val="00852A6E"/>
    <w:rsid w:val="00865062"/>
    <w:rsid w:val="0087377B"/>
    <w:rsid w:val="008A1D64"/>
    <w:rsid w:val="008E2325"/>
    <w:rsid w:val="008E4D6A"/>
    <w:rsid w:val="009224DC"/>
    <w:rsid w:val="0092554A"/>
    <w:rsid w:val="009349D5"/>
    <w:rsid w:val="0098741C"/>
    <w:rsid w:val="00993549"/>
    <w:rsid w:val="009A50C5"/>
    <w:rsid w:val="009B1847"/>
    <w:rsid w:val="009E0959"/>
    <w:rsid w:val="009E3767"/>
    <w:rsid w:val="00A1003B"/>
    <w:rsid w:val="00A3018A"/>
    <w:rsid w:val="00A450FD"/>
    <w:rsid w:val="00A71874"/>
    <w:rsid w:val="00A81A76"/>
    <w:rsid w:val="00A85153"/>
    <w:rsid w:val="00A86480"/>
    <w:rsid w:val="00AA65A1"/>
    <w:rsid w:val="00AB62C2"/>
    <w:rsid w:val="00AF4739"/>
    <w:rsid w:val="00B16EA8"/>
    <w:rsid w:val="00B17121"/>
    <w:rsid w:val="00B20E85"/>
    <w:rsid w:val="00B53731"/>
    <w:rsid w:val="00B55EA7"/>
    <w:rsid w:val="00B86A31"/>
    <w:rsid w:val="00B90CC4"/>
    <w:rsid w:val="00BC1A45"/>
    <w:rsid w:val="00BC393F"/>
    <w:rsid w:val="00BF5AF3"/>
    <w:rsid w:val="00C029E7"/>
    <w:rsid w:val="00C05A50"/>
    <w:rsid w:val="00C10DF2"/>
    <w:rsid w:val="00C14CB3"/>
    <w:rsid w:val="00C1567B"/>
    <w:rsid w:val="00C172E3"/>
    <w:rsid w:val="00C22C7A"/>
    <w:rsid w:val="00C46B26"/>
    <w:rsid w:val="00C938B6"/>
    <w:rsid w:val="00C967A3"/>
    <w:rsid w:val="00CC19BF"/>
    <w:rsid w:val="00CD6F07"/>
    <w:rsid w:val="00CD7CA4"/>
    <w:rsid w:val="00CF3AA2"/>
    <w:rsid w:val="00D14A11"/>
    <w:rsid w:val="00D32849"/>
    <w:rsid w:val="00D62CA2"/>
    <w:rsid w:val="00D72FAC"/>
    <w:rsid w:val="00D95610"/>
    <w:rsid w:val="00DA2DF7"/>
    <w:rsid w:val="00DA66AF"/>
    <w:rsid w:val="00DB5D70"/>
    <w:rsid w:val="00DE7019"/>
    <w:rsid w:val="00DE7D70"/>
    <w:rsid w:val="00E06D1D"/>
    <w:rsid w:val="00E113B4"/>
    <w:rsid w:val="00E35B63"/>
    <w:rsid w:val="00E52BBE"/>
    <w:rsid w:val="00E71601"/>
    <w:rsid w:val="00E75D61"/>
    <w:rsid w:val="00E76758"/>
    <w:rsid w:val="00EA0604"/>
    <w:rsid w:val="00EA61E0"/>
    <w:rsid w:val="00ED1975"/>
    <w:rsid w:val="00ED69DB"/>
    <w:rsid w:val="00F04D67"/>
    <w:rsid w:val="00F1138F"/>
    <w:rsid w:val="00F11684"/>
    <w:rsid w:val="00F1738B"/>
    <w:rsid w:val="00F23FDD"/>
    <w:rsid w:val="00F36C71"/>
    <w:rsid w:val="00F378D0"/>
    <w:rsid w:val="00F43831"/>
    <w:rsid w:val="00F529D8"/>
    <w:rsid w:val="00F672C4"/>
    <w:rsid w:val="00F77DB9"/>
    <w:rsid w:val="00F91152"/>
    <w:rsid w:val="00F922CC"/>
    <w:rsid w:val="00FB495F"/>
    <w:rsid w:val="00FF247F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062"/>
  </w:style>
  <w:style w:type="paragraph" w:styleId="Heading2">
    <w:name w:val="heading 2"/>
    <w:basedOn w:val="Normal"/>
    <w:next w:val="Normal"/>
    <w:link w:val="Heading2Char"/>
    <w:qFormat/>
    <w:rsid w:val="002A0DE8"/>
    <w:pPr>
      <w:keepNext/>
      <w:spacing w:after="0" w:line="360" w:lineRule="auto"/>
      <w:outlineLvl w:val="1"/>
    </w:pPr>
    <w:rPr>
      <w:rFonts w:ascii="Times New Roman" w:eastAsia="Times New Roman" w:hAnsi="Times New Roman" w:cs="Miriam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0DE8"/>
    <w:rPr>
      <w:rFonts w:ascii="Times New Roman" w:eastAsia="Times New Roman" w:hAnsi="Times New Roman" w:cs="Miriam"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C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B5A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5AC1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8222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A0DE8"/>
    <w:pPr>
      <w:keepNext/>
      <w:spacing w:after="0" w:line="360" w:lineRule="auto"/>
      <w:outlineLvl w:val="1"/>
    </w:pPr>
    <w:rPr>
      <w:rFonts w:ascii="Times New Roman" w:eastAsia="Times New Roman" w:hAnsi="Times New Roman" w:cs="Miriam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0DE8"/>
    <w:rPr>
      <w:rFonts w:ascii="Times New Roman" w:eastAsia="Times New Roman" w:hAnsi="Times New Roman" w:cs="Miriam"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C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B5A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5AC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</Company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Boaz Luz</dc:creator>
  <cp:lastModifiedBy>Boaz Luz</cp:lastModifiedBy>
  <cp:revision>2</cp:revision>
  <dcterms:created xsi:type="dcterms:W3CDTF">2013-08-19T11:34:00Z</dcterms:created>
  <dcterms:modified xsi:type="dcterms:W3CDTF">2013-08-19T11:34:00Z</dcterms:modified>
</cp:coreProperties>
</file>